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微软雅黑" w:eastAsia="方正小标宋简体" w:cs="微软雅黑"/>
          <w:sz w:val="36"/>
          <w:szCs w:val="36"/>
        </w:rPr>
      </w:pPr>
    </w:p>
    <w:p>
      <w:pPr>
        <w:spacing w:line="560" w:lineRule="exact"/>
        <w:jc w:val="center"/>
        <w:rPr>
          <w:rFonts w:ascii="方正小标宋简体" w:hAnsi="微软雅黑" w:eastAsia="方正小标宋简体" w:cs="微软雅黑"/>
          <w:sz w:val="36"/>
          <w:szCs w:val="36"/>
        </w:rPr>
      </w:pPr>
      <w:r>
        <w:rPr>
          <w:rFonts w:hint="eastAsia" w:ascii="方正小标宋简体" w:hAnsi="微软雅黑" w:eastAsia="方正小标宋简体" w:cs="微软雅黑"/>
          <w:sz w:val="36"/>
          <w:szCs w:val="36"/>
        </w:rPr>
        <w:t>关于公布第七届中国国际“互联网+”大学生</w:t>
      </w:r>
    </w:p>
    <w:p>
      <w:pPr>
        <w:spacing w:line="560" w:lineRule="exact"/>
        <w:jc w:val="center"/>
        <w:rPr>
          <w:rFonts w:ascii="方正小标宋简体" w:hAnsi="微软雅黑" w:eastAsia="方正小标宋简体" w:cs="微软雅黑"/>
          <w:sz w:val="36"/>
          <w:szCs w:val="36"/>
        </w:rPr>
      </w:pPr>
      <w:r>
        <w:rPr>
          <w:rFonts w:hint="eastAsia" w:ascii="方正小标宋简体" w:hAnsi="微软雅黑" w:eastAsia="方正小标宋简体" w:cs="微软雅黑"/>
          <w:sz w:val="36"/>
          <w:szCs w:val="36"/>
        </w:rPr>
        <w:t>创新创业大赛产业命题赛道入围命题的通知</w:t>
      </w:r>
    </w:p>
    <w:p>
      <w:pPr>
        <w:spacing w:line="560" w:lineRule="exact"/>
        <w:jc w:val="center"/>
        <w:rPr>
          <w:rFonts w:ascii="仿宋_GB2312" w:eastAsia="仿宋_GB2312"/>
          <w:sz w:val="32"/>
          <w:szCs w:val="32"/>
        </w:rPr>
      </w:pPr>
    </w:p>
    <w:p>
      <w:pPr>
        <w:spacing w:line="560" w:lineRule="exact"/>
        <w:rPr>
          <w:rFonts w:ascii="仿宋_GB2312" w:eastAsia="仿宋_GB2312"/>
          <w:color w:val="000000"/>
          <w:sz w:val="32"/>
          <w:szCs w:val="32"/>
        </w:rPr>
      </w:pPr>
      <w:bookmarkStart w:id="0" w:name="_GoBack"/>
      <w:r>
        <w:rPr>
          <w:rFonts w:hint="eastAsia" w:ascii="仿宋_GB2312" w:eastAsia="仿宋_GB2312"/>
          <w:color w:val="000000"/>
          <w:sz w:val="32"/>
          <w:szCs w:val="32"/>
        </w:rPr>
        <w:t>各省、自治区、直辖市教育厅（教委），新疆生产建设兵团教育局，有关部门（单位）教育司（局），部属各高等学校、部省合建各高等学校，国家开放大学：</w:t>
      </w:r>
    </w:p>
    <w:p>
      <w:pPr>
        <w:spacing w:line="560" w:lineRule="exact"/>
        <w:ind w:firstLine="646"/>
        <w:rPr>
          <w:rFonts w:ascii="仿宋_GB2312" w:eastAsia="仿宋_GB2312"/>
          <w:color w:val="000000"/>
          <w:sz w:val="32"/>
          <w:szCs w:val="32"/>
        </w:rPr>
      </w:pPr>
      <w:r>
        <w:rPr>
          <w:rFonts w:hint="eastAsia" w:ascii="仿宋_GB2312" w:eastAsia="仿宋_GB2312"/>
          <w:color w:val="000000"/>
          <w:sz w:val="32"/>
          <w:szCs w:val="32"/>
        </w:rPr>
        <w:t>根据《关于公布第七届中国国际“互联网+”大学生创新创业大赛产业命题赛道试点方案的通知》安排，经专家评选，现将入围命题予以公布（详见附件）。</w:t>
      </w:r>
    </w:p>
    <w:p>
      <w:pPr>
        <w:spacing w:line="560" w:lineRule="exact"/>
        <w:ind w:firstLine="646"/>
        <w:rPr>
          <w:rFonts w:ascii="仿宋_GB2312" w:eastAsia="仿宋_GB2312"/>
          <w:color w:val="000000"/>
          <w:sz w:val="32"/>
          <w:szCs w:val="32"/>
        </w:rPr>
      </w:pPr>
      <w:r>
        <w:rPr>
          <w:rFonts w:hint="eastAsia" w:ascii="仿宋_GB2312" w:eastAsia="仿宋_GB2312"/>
          <w:color w:val="000000"/>
          <w:sz w:val="32"/>
          <w:szCs w:val="32"/>
        </w:rPr>
        <w:t>请各省级教育行政部门及各有关学校积极组织报名参赛。中国大陆和港澳台地区参赛团队通过登录“全国大学生创业服务网”（网址：cy.ncss.cn）进行报名。国际参赛团队通过登录全球青年创新领袖共同体促进会（PILC）官网（网址：www.pilcchina.org）进行报名。入围命题详情、命题方联系方式等，可登录上述网站进行查看。</w:t>
      </w:r>
      <w:r>
        <w:rPr>
          <w:rFonts w:hint="eastAsia" w:ascii="仿宋_GB2312" w:eastAsia="仿宋_GB2312"/>
          <w:sz w:val="32"/>
          <w:szCs w:val="32"/>
        </w:rPr>
        <w:t>参赛报名及对策提交的起止时间</w:t>
      </w:r>
      <w:r>
        <w:rPr>
          <w:rFonts w:hint="eastAsia" w:ascii="仿宋_GB2312" w:eastAsia="仿宋_GB2312"/>
          <w:color w:val="000000"/>
          <w:sz w:val="32"/>
          <w:szCs w:val="32"/>
        </w:rPr>
        <w:t>为北京时间2021年7月2</w:t>
      </w:r>
      <w:r>
        <w:rPr>
          <w:rFonts w:ascii="仿宋_GB2312" w:eastAsia="仿宋_GB2312"/>
          <w:color w:val="000000"/>
          <w:sz w:val="32"/>
          <w:szCs w:val="32"/>
        </w:rPr>
        <w:t>6</w:t>
      </w:r>
      <w:r>
        <w:rPr>
          <w:rFonts w:hint="eastAsia" w:ascii="仿宋_GB2312" w:eastAsia="仿宋_GB2312"/>
          <w:color w:val="000000"/>
          <w:sz w:val="32"/>
          <w:szCs w:val="32"/>
        </w:rPr>
        <w:t>日—8月31日24点。</w:t>
      </w:r>
    </w:p>
    <w:p>
      <w:pPr>
        <w:spacing w:line="560" w:lineRule="exact"/>
        <w:ind w:firstLine="646"/>
        <w:rPr>
          <w:rFonts w:ascii="仿宋_GB2312" w:eastAsia="仿宋_GB2312"/>
          <w:color w:val="000000"/>
          <w:sz w:val="32"/>
          <w:szCs w:val="32"/>
        </w:rPr>
      </w:pPr>
      <w:r>
        <w:rPr>
          <w:rFonts w:hint="eastAsia" w:ascii="仿宋_GB2312" w:eastAsia="仿宋_GB2312"/>
          <w:color w:val="000000"/>
          <w:sz w:val="32"/>
          <w:szCs w:val="32"/>
        </w:rPr>
        <w:t>参赛团队可在“全国大学生创业服务网”资料下载板块，下载学生操作手册，指导报名参赛。涉及参赛事项，可通过“中国互联网十大学生创新创业大赛”公众号进行咨询；涉及具体命题内容，请联系命题企业。</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附件：</w:t>
      </w:r>
      <w:r>
        <w:rPr>
          <w:rFonts w:hint="eastAsia" w:ascii="仿宋_GB2312" w:eastAsia="仿宋_GB2312"/>
          <w:color w:val="000000"/>
          <w:sz w:val="32"/>
          <w:szCs w:val="32"/>
        </w:rPr>
        <w:t>第七届中国国际“互联网+”大学生创新创业</w:t>
      </w:r>
    </w:p>
    <w:p>
      <w:pPr>
        <w:spacing w:line="560" w:lineRule="exact"/>
        <w:ind w:firstLine="1600" w:firstLineChars="500"/>
        <w:rPr>
          <w:rFonts w:ascii="仿宋_GB2312" w:eastAsia="仿宋_GB2312"/>
          <w:color w:val="000000"/>
          <w:sz w:val="32"/>
          <w:szCs w:val="32"/>
        </w:rPr>
      </w:pPr>
      <w:r>
        <w:rPr>
          <w:rFonts w:hint="eastAsia" w:ascii="仿宋_GB2312" w:eastAsia="仿宋_GB2312"/>
          <w:color w:val="000000"/>
          <w:sz w:val="32"/>
          <w:szCs w:val="32"/>
        </w:rPr>
        <w:t>大赛产业命题赛道入围命题</w:t>
      </w:r>
    </w:p>
    <w:p>
      <w:pPr>
        <w:spacing w:line="560" w:lineRule="exact"/>
        <w:ind w:firstLine="3840" w:firstLineChars="1200"/>
        <w:rPr>
          <w:rFonts w:ascii="仿宋_GB2312" w:hAnsi="仿宋" w:eastAsia="仿宋_GB2312"/>
          <w:sz w:val="32"/>
          <w:szCs w:val="30"/>
        </w:rPr>
      </w:pPr>
    </w:p>
    <w:p>
      <w:pPr>
        <w:spacing w:line="560" w:lineRule="exact"/>
        <w:ind w:firstLine="3840" w:firstLineChars="1200"/>
        <w:rPr>
          <w:rFonts w:ascii="仿宋_GB2312" w:hAnsi="仿宋" w:eastAsia="仿宋_GB2312"/>
          <w:sz w:val="32"/>
          <w:szCs w:val="30"/>
        </w:rPr>
      </w:pPr>
    </w:p>
    <w:p>
      <w:pPr>
        <w:spacing w:line="560" w:lineRule="exact"/>
        <w:ind w:firstLine="3840" w:firstLineChars="1200"/>
        <w:rPr>
          <w:rFonts w:ascii="仿宋_GB2312" w:hAnsi="仿宋" w:eastAsia="仿宋_GB2312"/>
          <w:sz w:val="32"/>
          <w:szCs w:val="30"/>
        </w:rPr>
      </w:pPr>
      <w:r>
        <w:rPr>
          <w:rFonts w:hint="eastAsia" w:ascii="仿宋_GB2312" w:hAnsi="仿宋" w:eastAsia="仿宋_GB2312"/>
          <w:sz w:val="32"/>
          <w:szCs w:val="30"/>
        </w:rPr>
        <w:t>中国国际“互联网+”大学生</w:t>
      </w:r>
    </w:p>
    <w:p>
      <w:pPr>
        <w:spacing w:line="560" w:lineRule="exact"/>
        <w:rPr>
          <w:rFonts w:ascii="仿宋_GB2312" w:hAnsi="仿宋" w:eastAsia="仿宋_GB2312"/>
          <w:sz w:val="32"/>
          <w:szCs w:val="30"/>
        </w:rPr>
      </w:pPr>
      <w:r>
        <w:rPr>
          <w:rFonts w:hint="eastAsia" w:ascii="仿宋_GB2312" w:hAnsi="仿宋" w:eastAsia="仿宋_GB2312"/>
          <w:sz w:val="32"/>
          <w:szCs w:val="30"/>
        </w:rPr>
        <w:t xml:space="preserve">                         创新创业大赛组织委员会</w:t>
      </w:r>
    </w:p>
    <w:bookmarkEnd w:id="0"/>
    <w:p>
      <w:pPr>
        <w:spacing w:line="560" w:lineRule="exact"/>
        <w:rPr>
          <w:rFonts w:ascii="仿宋_GB2312" w:hAnsi="仿宋" w:eastAsia="仿宋_GB2312"/>
          <w:sz w:val="32"/>
          <w:szCs w:val="30"/>
        </w:rPr>
        <w:sectPr>
          <w:footerReference r:id="rId4" w:type="first"/>
          <w:footerReference r:id="rId3" w:type="default"/>
          <w:pgSz w:w="11906" w:h="16838"/>
          <w:pgMar w:top="1440" w:right="1797" w:bottom="1440" w:left="1797" w:header="851" w:footer="992" w:gutter="0"/>
          <w:pgNumType w:start="1"/>
          <w:cols w:space="425" w:num="1"/>
          <w:titlePg/>
          <w:docGrid w:type="linesAndChars" w:linePitch="312" w:charSpace="0"/>
        </w:sectPr>
      </w:pPr>
      <w:r>
        <w:rPr>
          <w:rFonts w:ascii="仿宋_GB2312" w:hAnsi="仿宋" w:eastAsia="仿宋_GB2312"/>
          <w:sz w:val="32"/>
          <w:szCs w:val="30"/>
        </w:rPr>
        <w:t xml:space="preserve">                         </w:t>
      </w:r>
    </w:p>
    <w:p>
      <w:pPr>
        <w:adjustRightInd w:val="0"/>
        <w:snapToGrid w:val="0"/>
        <w:spacing w:line="540" w:lineRule="exact"/>
        <w:rPr>
          <w:rFonts w:ascii="黑体" w:hAnsi="黑体" w:eastAsia="黑体"/>
          <w:sz w:val="32"/>
          <w:szCs w:val="32"/>
        </w:rPr>
      </w:pPr>
      <w:r>
        <w:rPr>
          <w:rFonts w:hint="eastAsia" w:ascii="黑体" w:hAnsi="黑体" w:eastAsia="黑体"/>
          <w:sz w:val="32"/>
          <w:szCs w:val="32"/>
        </w:rPr>
        <w:t>附件</w:t>
      </w:r>
    </w:p>
    <w:p>
      <w:pPr>
        <w:snapToGrid w:val="0"/>
        <w:spacing w:line="560" w:lineRule="exact"/>
        <w:jc w:val="center"/>
        <w:rPr>
          <w:rFonts w:ascii="方正小标宋简体" w:eastAsia="方正小标宋简体"/>
          <w:sz w:val="36"/>
          <w:szCs w:val="36"/>
        </w:rPr>
      </w:pPr>
      <w:r>
        <w:rPr>
          <w:rFonts w:hint="eastAsia" w:ascii="方正小标宋简体" w:eastAsia="方正小标宋简体"/>
          <w:sz w:val="36"/>
          <w:szCs w:val="36"/>
        </w:rPr>
        <w:t>第七届中国国际“互联网+”大学生创新创业大赛产业命题赛道入围命题</w:t>
      </w:r>
    </w:p>
    <w:p>
      <w:pPr>
        <w:snapToGrid w:val="0"/>
        <w:spacing w:line="560" w:lineRule="exact"/>
        <w:jc w:val="center"/>
        <w:rPr>
          <w:rFonts w:ascii="方正小标宋简体" w:eastAsia="方正小标宋简体"/>
          <w:sz w:val="36"/>
          <w:szCs w:val="36"/>
        </w:rPr>
      </w:pPr>
    </w:p>
    <w:tbl>
      <w:tblPr>
        <w:tblStyle w:val="13"/>
        <w:tblW w:w="5000" w:type="pct"/>
        <w:tblInd w:w="0" w:type="dxa"/>
        <w:tblLayout w:type="autofit"/>
        <w:tblCellMar>
          <w:top w:w="0" w:type="dxa"/>
          <w:left w:w="108" w:type="dxa"/>
          <w:bottom w:w="0" w:type="dxa"/>
          <w:right w:w="108" w:type="dxa"/>
        </w:tblCellMar>
      </w:tblPr>
      <w:tblGrid>
        <w:gridCol w:w="611"/>
        <w:gridCol w:w="5001"/>
        <w:gridCol w:w="1296"/>
        <w:gridCol w:w="7266"/>
      </w:tblGrid>
      <w:tr>
        <w:tblPrEx>
          <w:tblCellMar>
            <w:top w:w="0" w:type="dxa"/>
            <w:left w:w="108" w:type="dxa"/>
            <w:bottom w:w="0" w:type="dxa"/>
            <w:right w:w="108" w:type="dxa"/>
          </w:tblCellMar>
        </w:tblPrEx>
        <w:trPr>
          <w:trHeight w:val="540" w:hRule="atLeast"/>
        </w:trPr>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b/>
                <w:bCs w:val="0"/>
                <w:color w:val="000000"/>
                <w:sz w:val="28"/>
                <w:szCs w:val="28"/>
              </w:rPr>
            </w:pPr>
            <w:r>
              <w:rPr>
                <w:rFonts w:hint="eastAsia" w:ascii="仿宋_GB2312" w:hAnsi="仿宋" w:eastAsia="仿宋_GB2312" w:cs="仿宋"/>
                <w:b/>
                <w:bCs w:val="0"/>
                <w:color w:val="000000"/>
                <w:kern w:val="0"/>
                <w:sz w:val="28"/>
                <w:szCs w:val="28"/>
                <w:lang w:bidi="ar"/>
              </w:rPr>
              <w:t>序号</w:t>
            </w:r>
          </w:p>
        </w:tc>
        <w:tc>
          <w:tcPr>
            <w:tcW w:w="17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b/>
                <w:bCs w:val="0"/>
                <w:color w:val="000000"/>
                <w:sz w:val="28"/>
                <w:szCs w:val="28"/>
              </w:rPr>
            </w:pPr>
            <w:r>
              <w:rPr>
                <w:rFonts w:hint="eastAsia" w:ascii="仿宋_GB2312" w:hAnsi="仿宋" w:eastAsia="仿宋_GB2312" w:cs="仿宋"/>
                <w:b/>
                <w:bCs w:val="0"/>
                <w:color w:val="000000"/>
                <w:kern w:val="0"/>
                <w:sz w:val="28"/>
                <w:szCs w:val="28"/>
                <w:lang w:bidi="ar"/>
              </w:rPr>
              <w:t>出命题的企业名称</w:t>
            </w:r>
          </w:p>
        </w:tc>
        <w:tc>
          <w:tcPr>
            <w:tcW w:w="457" w:type="pct"/>
            <w:tcBorders>
              <w:top w:val="single" w:color="000000" w:sz="4" w:space="0"/>
              <w:left w:val="single" w:color="000000" w:sz="4" w:space="0"/>
              <w:bottom w:val="single" w:color="000000" w:sz="4" w:space="0"/>
              <w:right w:val="single" w:color="000000" w:sz="4" w:space="0"/>
            </w:tcBorders>
            <w:shd w:val="clear" w:color="auto" w:fill="FFFFFF"/>
          </w:tcPr>
          <w:p>
            <w:pPr>
              <w:widowControl/>
              <w:spacing w:line="500" w:lineRule="exact"/>
              <w:jc w:val="center"/>
              <w:textAlignment w:val="center"/>
              <w:rPr>
                <w:rFonts w:ascii="仿宋_GB2312" w:hAnsi="仿宋" w:eastAsia="仿宋_GB2312" w:cs="仿宋"/>
                <w:b/>
                <w:bCs w:val="0"/>
                <w:color w:val="000000"/>
                <w:kern w:val="0"/>
                <w:sz w:val="28"/>
                <w:szCs w:val="28"/>
                <w:lang w:bidi="ar"/>
              </w:rPr>
            </w:pPr>
            <w:r>
              <w:rPr>
                <w:rFonts w:hint="eastAsia" w:ascii="仿宋_GB2312" w:hAnsi="仿宋" w:eastAsia="仿宋_GB2312" w:cs="仿宋"/>
                <w:b/>
                <w:bCs w:val="0"/>
                <w:color w:val="000000"/>
                <w:kern w:val="0"/>
                <w:sz w:val="28"/>
                <w:szCs w:val="28"/>
                <w:lang w:bidi="ar"/>
              </w:rPr>
              <w:t>命题编号</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b/>
                <w:bCs w:val="0"/>
                <w:color w:val="000000"/>
                <w:sz w:val="28"/>
                <w:szCs w:val="28"/>
              </w:rPr>
            </w:pPr>
            <w:r>
              <w:rPr>
                <w:rFonts w:hint="eastAsia" w:ascii="仿宋_GB2312" w:hAnsi="仿宋" w:eastAsia="仿宋_GB2312" w:cs="仿宋"/>
                <w:b/>
                <w:bCs w:val="0"/>
                <w:color w:val="000000"/>
                <w:kern w:val="0"/>
                <w:sz w:val="28"/>
                <w:szCs w:val="28"/>
                <w:lang w:bidi="ar"/>
              </w:rPr>
              <w:t>命题名称</w:t>
            </w:r>
          </w:p>
        </w:tc>
      </w:tr>
      <w:tr>
        <w:tblPrEx>
          <w:tblCellMar>
            <w:top w:w="0" w:type="dxa"/>
            <w:left w:w="108" w:type="dxa"/>
            <w:bottom w:w="0" w:type="dxa"/>
            <w:right w:w="108" w:type="dxa"/>
          </w:tblCellMar>
        </w:tblPrEx>
        <w:trPr>
          <w:trHeight w:val="300" w:hRule="atLeast"/>
        </w:trPr>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w:t>
            </w:r>
          </w:p>
        </w:tc>
        <w:tc>
          <w:tcPr>
            <w:tcW w:w="17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阿拉尔新农乳业有限责任公司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MT01</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常温酸奶后酸控制措施</w:t>
            </w:r>
          </w:p>
        </w:tc>
      </w:tr>
      <w:tr>
        <w:tblPrEx>
          <w:tblCellMar>
            <w:top w:w="0" w:type="dxa"/>
            <w:left w:w="108" w:type="dxa"/>
            <w:bottom w:w="0" w:type="dxa"/>
            <w:right w:w="108" w:type="dxa"/>
          </w:tblCellMar>
        </w:tblPrEx>
        <w:trPr>
          <w:trHeight w:val="300" w:hRule="atLeast"/>
        </w:trPr>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w:t>
            </w:r>
          </w:p>
        </w:tc>
        <w:tc>
          <w:tcPr>
            <w:tcW w:w="17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安徽赛福电子有限公司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MT02</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金属化薄膜及其电容器环境适应性研究</w:t>
            </w:r>
          </w:p>
        </w:tc>
      </w:tr>
      <w:tr>
        <w:tblPrEx>
          <w:tblCellMar>
            <w:top w:w="0" w:type="dxa"/>
            <w:left w:w="108" w:type="dxa"/>
            <w:bottom w:w="0" w:type="dxa"/>
            <w:right w:w="108" w:type="dxa"/>
          </w:tblCellMar>
        </w:tblPrEx>
        <w:trPr>
          <w:trHeight w:val="300" w:hRule="atLeast"/>
        </w:trPr>
        <w:tc>
          <w:tcPr>
            <w:tcW w:w="2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w:t>
            </w:r>
          </w:p>
        </w:tc>
        <w:tc>
          <w:tcPr>
            <w:tcW w:w="176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宝武重工有限公司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MT03</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长寿命高温炉辊表面涂层设计与制备技术</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MT04</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高质量连铸结晶器铜板修复及表面强化技术</w:t>
            </w:r>
          </w:p>
        </w:tc>
      </w:tr>
      <w:tr>
        <w:tblPrEx>
          <w:tblCellMar>
            <w:top w:w="0" w:type="dxa"/>
            <w:left w:w="108" w:type="dxa"/>
            <w:bottom w:w="0" w:type="dxa"/>
            <w:right w:w="108" w:type="dxa"/>
          </w:tblCellMar>
        </w:tblPrEx>
        <w:trPr>
          <w:trHeight w:val="300" w:hRule="atLeast"/>
        </w:trPr>
        <w:tc>
          <w:tcPr>
            <w:tcW w:w="2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w:t>
            </w:r>
          </w:p>
        </w:tc>
        <w:tc>
          <w:tcPr>
            <w:tcW w:w="176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北京东方雨虹防水技术股份有限公司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MT05</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装配式建筑与防水材料的结合</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MT06</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新型钢轨阻尼器</w:t>
            </w:r>
          </w:p>
        </w:tc>
      </w:tr>
      <w:tr>
        <w:tblPrEx>
          <w:tblCellMar>
            <w:top w:w="0" w:type="dxa"/>
            <w:left w:w="108" w:type="dxa"/>
            <w:bottom w:w="0" w:type="dxa"/>
            <w:right w:w="108" w:type="dxa"/>
          </w:tblCellMar>
        </w:tblPrEx>
        <w:trPr>
          <w:trHeight w:val="300" w:hRule="atLeast"/>
        </w:trPr>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5</w:t>
            </w:r>
          </w:p>
        </w:tc>
        <w:tc>
          <w:tcPr>
            <w:tcW w:w="17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北京华大九天科技股份有限公司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MT07</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柔性显示电路设计方案</w:t>
            </w:r>
          </w:p>
        </w:tc>
      </w:tr>
      <w:tr>
        <w:tblPrEx>
          <w:tblCellMar>
            <w:top w:w="0" w:type="dxa"/>
            <w:left w:w="108" w:type="dxa"/>
            <w:bottom w:w="0" w:type="dxa"/>
            <w:right w:w="108" w:type="dxa"/>
          </w:tblCellMar>
        </w:tblPrEx>
        <w:trPr>
          <w:trHeight w:val="300" w:hRule="atLeast"/>
        </w:trPr>
        <w:tc>
          <w:tcPr>
            <w:tcW w:w="2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6</w:t>
            </w:r>
          </w:p>
        </w:tc>
        <w:tc>
          <w:tcPr>
            <w:tcW w:w="176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微梦创科网络科技(中国)有限公司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MT08</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基于微博平台的年轻化用户增长裂变的小程序创意方案</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MT09</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基于微博平台的年轻化用户社区运营的小程序创意方案</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MT10</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基于微博平台的音频社交的小程序创意方案</w:t>
            </w:r>
          </w:p>
        </w:tc>
      </w:tr>
      <w:tr>
        <w:tblPrEx>
          <w:tblCellMar>
            <w:top w:w="0" w:type="dxa"/>
            <w:left w:w="108" w:type="dxa"/>
            <w:bottom w:w="0" w:type="dxa"/>
            <w:right w:w="108" w:type="dxa"/>
          </w:tblCellMar>
        </w:tblPrEx>
        <w:trPr>
          <w:trHeight w:val="300" w:hRule="atLeast"/>
        </w:trPr>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7</w:t>
            </w:r>
          </w:p>
        </w:tc>
        <w:tc>
          <w:tcPr>
            <w:tcW w:w="17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北京文华在线教育科技股份有限公司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MT11</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VR渲染速度</w:t>
            </w:r>
          </w:p>
        </w:tc>
      </w:tr>
      <w:tr>
        <w:tblPrEx>
          <w:tblCellMar>
            <w:top w:w="0" w:type="dxa"/>
            <w:left w:w="108" w:type="dxa"/>
            <w:bottom w:w="0" w:type="dxa"/>
            <w:right w:w="108" w:type="dxa"/>
          </w:tblCellMar>
        </w:tblPrEx>
        <w:trPr>
          <w:trHeight w:val="300" w:hRule="atLeast"/>
        </w:trPr>
        <w:tc>
          <w:tcPr>
            <w:tcW w:w="2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8</w:t>
            </w:r>
          </w:p>
        </w:tc>
        <w:tc>
          <w:tcPr>
            <w:tcW w:w="176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北京沃东天骏信息技术有限公司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MT12</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信息时代下居家品牌的多媒体创意设计革新策略</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MT13</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家用电器的场景化动线优化设计与应用</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MT14</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“视觉+”线上自主国民品牌交互体验升维创新</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MT15</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数据共享下的隐私保护</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MT16</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智能合约安全</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MT17</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无人设备安全</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MT18</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漏洞热修复</w:t>
            </w:r>
          </w:p>
        </w:tc>
      </w:tr>
      <w:tr>
        <w:tblPrEx>
          <w:tblCellMar>
            <w:top w:w="0" w:type="dxa"/>
            <w:left w:w="108" w:type="dxa"/>
            <w:bottom w:w="0" w:type="dxa"/>
            <w:right w:w="108" w:type="dxa"/>
          </w:tblCellMar>
        </w:tblPrEx>
        <w:trPr>
          <w:trHeight w:val="300" w:hRule="atLeast"/>
        </w:trPr>
        <w:tc>
          <w:tcPr>
            <w:tcW w:w="2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9</w:t>
            </w:r>
          </w:p>
        </w:tc>
        <w:tc>
          <w:tcPr>
            <w:tcW w:w="176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北京中车重工机械有限公司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MT19</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电力机车车顶智能巡检机器人</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MT20</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动车车底智能巡检机器人</w:t>
            </w:r>
          </w:p>
        </w:tc>
      </w:tr>
      <w:tr>
        <w:tblPrEx>
          <w:tblCellMar>
            <w:top w:w="0" w:type="dxa"/>
            <w:left w:w="108" w:type="dxa"/>
            <w:bottom w:w="0" w:type="dxa"/>
            <w:right w:w="108" w:type="dxa"/>
          </w:tblCellMar>
        </w:tblPrEx>
        <w:trPr>
          <w:trHeight w:val="300" w:hRule="atLeast"/>
        </w:trPr>
        <w:tc>
          <w:tcPr>
            <w:tcW w:w="2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10</w:t>
            </w:r>
          </w:p>
        </w:tc>
        <w:tc>
          <w:tcPr>
            <w:tcW w:w="176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北京中软国际信息技术有限公司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MT21</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《智慧城市—人工智能视觉识别垃圾分类》</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MT22</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《智慧农业—农业大数据》</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MT23</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《科技未来—用AI探索科技未来发展》</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MT24</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《鸿蒙之心—HarmonyOS物联网大赛》</w:t>
            </w:r>
          </w:p>
        </w:tc>
      </w:tr>
      <w:tr>
        <w:tblPrEx>
          <w:tblCellMar>
            <w:top w:w="0" w:type="dxa"/>
            <w:left w:w="108" w:type="dxa"/>
            <w:bottom w:w="0" w:type="dxa"/>
            <w:right w:w="108" w:type="dxa"/>
          </w:tblCellMar>
        </w:tblPrEx>
        <w:trPr>
          <w:trHeight w:val="300" w:hRule="atLeast"/>
        </w:trPr>
        <w:tc>
          <w:tcPr>
            <w:tcW w:w="2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11</w:t>
            </w:r>
          </w:p>
        </w:tc>
        <w:tc>
          <w:tcPr>
            <w:tcW w:w="176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北京字跳网络技术有限公司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MT25</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非遗及传统文化在文创领域的再现与革新</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MT26</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短视频时代下平台应用青少年及中老年防沉迷设计课题</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MT27</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新时代美育背景下游戏设计领域在创新教育方面的新应用</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MT28</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国潮艺术在文化振兴中的传承与升维设计</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MT29</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虚拟与现实的界限-新业态下的视觉艺术</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MT30</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关于传统文化视野下的游戏设计应用</w:t>
            </w:r>
          </w:p>
        </w:tc>
      </w:tr>
      <w:tr>
        <w:tblPrEx>
          <w:tblCellMar>
            <w:top w:w="0" w:type="dxa"/>
            <w:left w:w="108" w:type="dxa"/>
            <w:bottom w:w="0" w:type="dxa"/>
            <w:right w:w="108" w:type="dxa"/>
          </w:tblCellMar>
        </w:tblPrEx>
        <w:trPr>
          <w:trHeight w:val="300" w:hRule="atLeast"/>
        </w:trPr>
        <w:tc>
          <w:tcPr>
            <w:tcW w:w="2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12</w:t>
            </w:r>
          </w:p>
        </w:tc>
        <w:tc>
          <w:tcPr>
            <w:tcW w:w="176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北控水务集团有限公司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MT31</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智慧水务方向</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MT32</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智慧环卫</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MT33</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污水处理提质增效方向</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MT34</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数字化清洁能源管理</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MT35</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污水处理节能降耗方向</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MT36</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合流制溢流污染控制</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MT37</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污水资源化</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MT38</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污泥及固废处理处置方向</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MT39</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供水安全方向</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MT40</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市政管网方向</w:t>
            </w:r>
          </w:p>
        </w:tc>
      </w:tr>
      <w:tr>
        <w:tblPrEx>
          <w:tblCellMar>
            <w:top w:w="0" w:type="dxa"/>
            <w:left w:w="108" w:type="dxa"/>
            <w:bottom w:w="0" w:type="dxa"/>
            <w:right w:w="108" w:type="dxa"/>
          </w:tblCellMar>
        </w:tblPrEx>
        <w:trPr>
          <w:trHeight w:val="300" w:hRule="atLeast"/>
        </w:trPr>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13</w:t>
            </w:r>
          </w:p>
        </w:tc>
        <w:tc>
          <w:tcPr>
            <w:tcW w:w="17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成都银河动力有限公司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MT41</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活塞热冲击疲劳试验测试平台</w:t>
            </w:r>
          </w:p>
        </w:tc>
      </w:tr>
      <w:tr>
        <w:tblPrEx>
          <w:tblCellMar>
            <w:top w:w="0" w:type="dxa"/>
            <w:left w:w="108" w:type="dxa"/>
            <w:bottom w:w="0" w:type="dxa"/>
            <w:right w:w="108" w:type="dxa"/>
          </w:tblCellMar>
        </w:tblPrEx>
        <w:trPr>
          <w:trHeight w:val="300" w:hRule="atLeast"/>
        </w:trPr>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14</w:t>
            </w:r>
          </w:p>
        </w:tc>
        <w:tc>
          <w:tcPr>
            <w:tcW w:w="17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大博医疗科技股份有限公司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MT42</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激光3D打印可降解植入物粉体材料球形化制备</w:t>
            </w:r>
          </w:p>
        </w:tc>
      </w:tr>
      <w:tr>
        <w:tblPrEx>
          <w:tblCellMar>
            <w:top w:w="0" w:type="dxa"/>
            <w:left w:w="108" w:type="dxa"/>
            <w:bottom w:w="0" w:type="dxa"/>
            <w:right w:w="108" w:type="dxa"/>
          </w:tblCellMar>
        </w:tblPrEx>
        <w:trPr>
          <w:trHeight w:val="300" w:hRule="atLeast"/>
        </w:trPr>
        <w:tc>
          <w:tcPr>
            <w:tcW w:w="2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15</w:t>
            </w:r>
          </w:p>
        </w:tc>
        <w:tc>
          <w:tcPr>
            <w:tcW w:w="176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凤凰卫视有限公司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MT43</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全媒体时代下的高品质媒体内容的打造</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MT44</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通过新媒体手段打造乡村与产品品牌，助力乡村振兴</w:t>
            </w:r>
          </w:p>
        </w:tc>
      </w:tr>
      <w:tr>
        <w:tblPrEx>
          <w:tblCellMar>
            <w:top w:w="0" w:type="dxa"/>
            <w:left w:w="108" w:type="dxa"/>
            <w:bottom w:w="0" w:type="dxa"/>
            <w:right w:w="108" w:type="dxa"/>
          </w:tblCellMar>
        </w:tblPrEx>
        <w:trPr>
          <w:trHeight w:val="300" w:hRule="atLeast"/>
        </w:trPr>
        <w:tc>
          <w:tcPr>
            <w:tcW w:w="2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16</w:t>
            </w:r>
          </w:p>
        </w:tc>
        <w:tc>
          <w:tcPr>
            <w:tcW w:w="176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广联达科技股份有限公司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MT45</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数字化设计相关技术与应用</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MT46</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施工工地管理相关新技术与应用</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MT47</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建筑产业互联网创新与实践</w:t>
            </w:r>
          </w:p>
        </w:tc>
      </w:tr>
      <w:tr>
        <w:tblPrEx>
          <w:tblCellMar>
            <w:top w:w="0" w:type="dxa"/>
            <w:left w:w="108" w:type="dxa"/>
            <w:bottom w:w="0" w:type="dxa"/>
            <w:right w:w="108" w:type="dxa"/>
          </w:tblCellMar>
        </w:tblPrEx>
        <w:trPr>
          <w:trHeight w:val="300" w:hRule="atLeast"/>
        </w:trPr>
        <w:tc>
          <w:tcPr>
            <w:tcW w:w="2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17</w:t>
            </w:r>
          </w:p>
        </w:tc>
        <w:tc>
          <w:tcPr>
            <w:tcW w:w="176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国网江苏省电力公司经济技术研究院</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MT48</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计及韧性提升需求的多能耦合配电系统一体化规划方法</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MT49</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“AI+大数据”赋能下的电力全业务数字化解决方案</w:t>
            </w:r>
          </w:p>
        </w:tc>
      </w:tr>
      <w:tr>
        <w:tblPrEx>
          <w:tblCellMar>
            <w:top w:w="0" w:type="dxa"/>
            <w:left w:w="108" w:type="dxa"/>
            <w:bottom w:w="0" w:type="dxa"/>
            <w:right w:w="108" w:type="dxa"/>
          </w:tblCellMar>
        </w:tblPrEx>
        <w:trPr>
          <w:trHeight w:val="300" w:hRule="atLeast"/>
        </w:trPr>
        <w:tc>
          <w:tcPr>
            <w:tcW w:w="2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18</w:t>
            </w:r>
          </w:p>
        </w:tc>
        <w:tc>
          <w:tcPr>
            <w:tcW w:w="176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哈工大机器人集团（山东）有限公司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MT50</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自动化智能立体仓库的物流解决方案</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MT51</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道路养护施工主动安全警示系统设计</w:t>
            </w:r>
          </w:p>
        </w:tc>
      </w:tr>
      <w:tr>
        <w:tblPrEx>
          <w:tblCellMar>
            <w:top w:w="0" w:type="dxa"/>
            <w:left w:w="108" w:type="dxa"/>
            <w:bottom w:w="0" w:type="dxa"/>
            <w:right w:w="108" w:type="dxa"/>
          </w:tblCellMar>
        </w:tblPrEx>
        <w:trPr>
          <w:trHeight w:val="300" w:hRule="atLeast"/>
        </w:trPr>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19</w:t>
            </w:r>
          </w:p>
        </w:tc>
        <w:tc>
          <w:tcPr>
            <w:tcW w:w="17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海尔集团电器产业有限公司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MT52</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物联网时代“人单合一”创业项目新模式探究实践方案</w:t>
            </w:r>
          </w:p>
        </w:tc>
      </w:tr>
      <w:tr>
        <w:tblPrEx>
          <w:tblCellMar>
            <w:top w:w="0" w:type="dxa"/>
            <w:left w:w="108" w:type="dxa"/>
            <w:bottom w:w="0" w:type="dxa"/>
            <w:right w:w="108" w:type="dxa"/>
          </w:tblCellMar>
        </w:tblPrEx>
        <w:trPr>
          <w:trHeight w:val="300" w:hRule="atLeast"/>
        </w:trPr>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20</w:t>
            </w:r>
          </w:p>
        </w:tc>
        <w:tc>
          <w:tcPr>
            <w:tcW w:w="17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杭州海康威视数字技术股份有限公司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MT53</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多模态手部生物特征 感知与识别</w:t>
            </w:r>
          </w:p>
        </w:tc>
      </w:tr>
      <w:tr>
        <w:tblPrEx>
          <w:tblCellMar>
            <w:top w:w="0" w:type="dxa"/>
            <w:left w:w="108" w:type="dxa"/>
            <w:bottom w:w="0" w:type="dxa"/>
            <w:right w:w="108" w:type="dxa"/>
          </w:tblCellMar>
        </w:tblPrEx>
        <w:trPr>
          <w:trHeight w:val="300" w:hRule="atLeast"/>
        </w:trPr>
        <w:tc>
          <w:tcPr>
            <w:tcW w:w="2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21</w:t>
            </w:r>
          </w:p>
        </w:tc>
        <w:tc>
          <w:tcPr>
            <w:tcW w:w="176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华为技术有限公司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MT54</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区块链应用场景探索</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MT55</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w:t>
            </w:r>
            <w:r>
              <w:rPr>
                <w:rFonts w:hint="eastAsia" w:ascii="微软雅黑" w:hAnsi="微软雅黑" w:eastAsia="微软雅黑" w:cs="微软雅黑"/>
                <w:color w:val="000000"/>
                <w:kern w:val="0"/>
                <w:sz w:val="28"/>
                <w:szCs w:val="28"/>
                <w:lang w:bidi="ar"/>
              </w:rPr>
              <w:t>昇</w:t>
            </w:r>
            <w:r>
              <w:rPr>
                <w:rFonts w:hint="eastAsia" w:ascii="仿宋_GB2312" w:hAnsi="仿宋_GB2312" w:eastAsia="仿宋_GB2312" w:cs="仿宋_GB2312"/>
                <w:color w:val="000000"/>
                <w:kern w:val="0"/>
                <w:sz w:val="28"/>
                <w:szCs w:val="28"/>
                <w:lang w:bidi="ar"/>
              </w:rPr>
              <w:t>腾全栈</w:t>
            </w:r>
            <w:r>
              <w:rPr>
                <w:rFonts w:hint="eastAsia" w:ascii="仿宋_GB2312" w:hAnsi="仿宋" w:eastAsia="仿宋_GB2312" w:cs="仿宋"/>
                <w:color w:val="000000"/>
                <w:kern w:val="0"/>
                <w:sz w:val="28"/>
                <w:szCs w:val="28"/>
                <w:lang w:bidi="ar"/>
              </w:rPr>
              <w:t xml:space="preserve"> AI 软硬件平台 技术，探索有具体落地场景的技术应用创意作品。</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MT56</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基于华为云EI能力构建计算机视觉产业应用</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MT57</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基于Mindspore开源框架的拓展和创新</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MT58</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感知应用的IPv6网络</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MT59</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openLooKeng管理台的易用性提升：openLooKeng Web UI 管理面功能增强（不限于：集群一键部署和升级/集群的统一配置管理/集群服务启停等功能），便于集群管理</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MT60</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openLooKeng（罗庚）跨域跨源能力实践</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MT61</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智慧校园-WeLink小程序（We码）</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MT62</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嵌入式通信设备</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MT63</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基于鲲鹏全栈软硬件平台技术，探索有具体行业场景的技术应用创意作品</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MT64</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基于华为云IoT打造智能化场景应用</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MT65</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基于华为云EI能力构建大数据使能行业应用</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MT66</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基于华为云EI能力构建“医疗+AI”解决方案</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MT67</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基于AI开发平台ModelArts和MindSpore开源框架创意作品</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MT68</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openLooKeng引擎内核增强</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MT69</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鲲鹏BoostKit加速库应用实践</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MT70</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用Rust语言重构openEuler所需安装和运行的软件包</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MT71</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网络智能运维应用创新</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MT72</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提供Prometheus Exporter用于采集和监控openGauss服务的指标及数据</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MT73</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使用MindSpore高阶工具TinyMS支持的网络CycleGAN训练图像风格迁移模型</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MT74</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基于GaussDB(for MySQL)实现一个高性能、高扩展性的bufferpool（缓冲池）</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MT75</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利用下一代网络技术提升网络质量</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MT76</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鲲鹏BoostKit大数据Spark图算法优化</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MT77</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当前SONiC开源架构存在哪些问题及对应的解决方案</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MT78</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OpenHarmony分布式能力实践</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MT79</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openGauss-Rust驱动编写</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MT80</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玩转神器，高效开发-CloudIDE插件大赛</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MT81</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通信和网络软件开发</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MT82</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使用MindSpore高阶工具TinyMS复现人脸检测模型FaceDetection</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MT83</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使用MindSpore高阶工具TinyMS复现GOMO模型</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MT84</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结合华为云API开放平台APIExploer实现照片分类系统</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MT85</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AI创新应用</w:t>
            </w:r>
          </w:p>
        </w:tc>
      </w:tr>
      <w:tr>
        <w:tblPrEx>
          <w:tblCellMar>
            <w:top w:w="0" w:type="dxa"/>
            <w:left w:w="108" w:type="dxa"/>
            <w:bottom w:w="0" w:type="dxa"/>
            <w:right w:w="108" w:type="dxa"/>
          </w:tblCellMar>
        </w:tblPrEx>
        <w:trPr>
          <w:trHeight w:val="300" w:hRule="atLeast"/>
        </w:trPr>
        <w:tc>
          <w:tcPr>
            <w:tcW w:w="2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22</w:t>
            </w:r>
          </w:p>
        </w:tc>
        <w:tc>
          <w:tcPr>
            <w:tcW w:w="176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霍尼韦尔（中国）有限公司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MT86</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基于Niagara技术的云边协同智慧城市管控平台</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MT87</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基于Niagara技术的工业互联网异构系统整合方案</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MT88</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基于Niagara技术的能源互联网解决方案</w:t>
            </w:r>
          </w:p>
        </w:tc>
      </w:tr>
      <w:tr>
        <w:tblPrEx>
          <w:tblCellMar>
            <w:top w:w="0" w:type="dxa"/>
            <w:left w:w="108" w:type="dxa"/>
            <w:bottom w:w="0" w:type="dxa"/>
            <w:right w:w="108" w:type="dxa"/>
          </w:tblCellMar>
        </w:tblPrEx>
        <w:trPr>
          <w:trHeight w:val="300" w:hRule="atLeast"/>
        </w:trPr>
        <w:tc>
          <w:tcPr>
            <w:tcW w:w="2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23</w:t>
            </w:r>
          </w:p>
        </w:tc>
        <w:tc>
          <w:tcPr>
            <w:tcW w:w="176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济南轨道交通集团有限公司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MT89</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地铁隧道隐蔽缺陷探地雷达图像智能识别算法</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MT90</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地铁隧道智慧检测平台</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MT91</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地铁隧道结构病害与内部缺陷的快速连续诊断系统</w:t>
            </w:r>
          </w:p>
        </w:tc>
      </w:tr>
      <w:tr>
        <w:tblPrEx>
          <w:tblCellMar>
            <w:top w:w="0" w:type="dxa"/>
            <w:left w:w="108" w:type="dxa"/>
            <w:bottom w:w="0" w:type="dxa"/>
            <w:right w:w="108" w:type="dxa"/>
          </w:tblCellMar>
        </w:tblPrEx>
        <w:trPr>
          <w:trHeight w:val="300" w:hRule="atLeast"/>
        </w:trPr>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24</w:t>
            </w:r>
          </w:p>
        </w:tc>
        <w:tc>
          <w:tcPr>
            <w:tcW w:w="17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江西普正制药股份有限公司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MT92</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开发一种针对乳腺癌新型治疗方式的靶向纳米制剂</w:t>
            </w:r>
          </w:p>
        </w:tc>
      </w:tr>
      <w:tr>
        <w:tblPrEx>
          <w:tblCellMar>
            <w:top w:w="0" w:type="dxa"/>
            <w:left w:w="108" w:type="dxa"/>
            <w:bottom w:w="0" w:type="dxa"/>
            <w:right w:w="108" w:type="dxa"/>
          </w:tblCellMar>
        </w:tblPrEx>
        <w:trPr>
          <w:trHeight w:val="300" w:hRule="atLeast"/>
        </w:trPr>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25</w:t>
            </w:r>
          </w:p>
        </w:tc>
        <w:tc>
          <w:tcPr>
            <w:tcW w:w="17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江西同和药业股份有限公司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MT93</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基于创新型治疗晚期肺癌靶向药物的设计与研发</w:t>
            </w:r>
          </w:p>
        </w:tc>
      </w:tr>
      <w:tr>
        <w:tblPrEx>
          <w:tblCellMar>
            <w:top w:w="0" w:type="dxa"/>
            <w:left w:w="108" w:type="dxa"/>
            <w:bottom w:w="0" w:type="dxa"/>
            <w:right w:w="108" w:type="dxa"/>
          </w:tblCellMar>
        </w:tblPrEx>
        <w:trPr>
          <w:trHeight w:val="300" w:hRule="atLeast"/>
        </w:trPr>
        <w:tc>
          <w:tcPr>
            <w:tcW w:w="2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26</w:t>
            </w:r>
          </w:p>
        </w:tc>
        <w:tc>
          <w:tcPr>
            <w:tcW w:w="176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科大讯飞股份有限公司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MT94</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智慧农业—— 农作物生长情况识别</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MT95</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智慧城市—— 智慧市场监督管理综合解决方案</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MT96</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算法类——高校课堂教学质量评价</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MT97</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AI+语言学习创意方案</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MT98</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智能语音—— 智能语音交互在全场景下的创新应用</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MT99</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智慧园区—— 智慧园区综合解决方案</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MT100</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智慧交通—— 城市智慧交通解决方案</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MT101</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语言学习—— 基于智能语音技术打造一带一路中文学习平台</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MT102</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新能源汽车—— 智能网联汽车综合解决方案</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MT103</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公益—— 智能产品适老化应用</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MT104</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智慧水利—— 洪涝灾害风险分析及预防</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MT105</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教育—— 面向新工科、新农科、新文科、新医科等教育类知识图谱构建及应用</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MT106</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高等教育—— 基于AI 教学评价的智慧教育解决方案</w:t>
            </w:r>
          </w:p>
        </w:tc>
      </w:tr>
      <w:tr>
        <w:tblPrEx>
          <w:tblCellMar>
            <w:top w:w="0" w:type="dxa"/>
            <w:left w:w="108" w:type="dxa"/>
            <w:bottom w:w="0" w:type="dxa"/>
            <w:right w:w="108" w:type="dxa"/>
          </w:tblCellMar>
        </w:tblPrEx>
        <w:trPr>
          <w:trHeight w:val="300" w:hRule="atLeast"/>
        </w:trPr>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27</w:t>
            </w:r>
          </w:p>
        </w:tc>
        <w:tc>
          <w:tcPr>
            <w:tcW w:w="17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洛阳轴承研究所有限公司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MT107</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激光绿色制造—重载轴承关键部位强化技术</w:t>
            </w:r>
          </w:p>
        </w:tc>
      </w:tr>
      <w:tr>
        <w:tblPrEx>
          <w:tblCellMar>
            <w:top w:w="0" w:type="dxa"/>
            <w:left w:w="108" w:type="dxa"/>
            <w:bottom w:w="0" w:type="dxa"/>
            <w:right w:w="108" w:type="dxa"/>
          </w:tblCellMar>
        </w:tblPrEx>
        <w:trPr>
          <w:trHeight w:val="300" w:hRule="atLeast"/>
        </w:trPr>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28</w:t>
            </w:r>
          </w:p>
        </w:tc>
        <w:tc>
          <w:tcPr>
            <w:tcW w:w="17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纳思达股份有限公司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MT108</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互联网+全彩3D打印潮 玩创新创业设计</w:t>
            </w:r>
          </w:p>
        </w:tc>
      </w:tr>
      <w:tr>
        <w:tblPrEx>
          <w:tblCellMar>
            <w:top w:w="0" w:type="dxa"/>
            <w:left w:w="108" w:type="dxa"/>
            <w:bottom w:w="0" w:type="dxa"/>
            <w:right w:w="108" w:type="dxa"/>
          </w:tblCellMar>
        </w:tblPrEx>
        <w:trPr>
          <w:trHeight w:val="300" w:hRule="atLeast"/>
        </w:trPr>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29</w:t>
            </w:r>
          </w:p>
        </w:tc>
        <w:tc>
          <w:tcPr>
            <w:tcW w:w="17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南方电网深圳数字电网研究院有限公司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MT109</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可视化分布式云边AIOT平台</w:t>
            </w:r>
          </w:p>
        </w:tc>
      </w:tr>
      <w:tr>
        <w:tblPrEx>
          <w:tblCellMar>
            <w:top w:w="0" w:type="dxa"/>
            <w:left w:w="108" w:type="dxa"/>
            <w:bottom w:w="0" w:type="dxa"/>
            <w:right w:w="108" w:type="dxa"/>
          </w:tblCellMar>
        </w:tblPrEx>
        <w:trPr>
          <w:trHeight w:val="300" w:hRule="atLeast"/>
        </w:trPr>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30</w:t>
            </w:r>
          </w:p>
        </w:tc>
        <w:tc>
          <w:tcPr>
            <w:tcW w:w="17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锐捷网络（苏州）有限公司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MT110</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计算机云外设实现方案</w:t>
            </w:r>
          </w:p>
        </w:tc>
      </w:tr>
      <w:tr>
        <w:tblPrEx>
          <w:tblCellMar>
            <w:top w:w="0" w:type="dxa"/>
            <w:left w:w="108" w:type="dxa"/>
            <w:bottom w:w="0" w:type="dxa"/>
            <w:right w:w="108" w:type="dxa"/>
          </w:tblCellMar>
        </w:tblPrEx>
        <w:trPr>
          <w:trHeight w:val="300" w:hRule="atLeast"/>
        </w:trPr>
        <w:tc>
          <w:tcPr>
            <w:tcW w:w="2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31</w:t>
            </w:r>
          </w:p>
        </w:tc>
        <w:tc>
          <w:tcPr>
            <w:tcW w:w="176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山东新希望六和集团有限公司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MT111</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智能化雏鸡断喙设备的研发</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MT112</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在现代化、规模化养殖场中，如何打造有效的生物安全体系进行非洲猪瘟防控？</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MT113</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2021年下半年，生猪行情持续下滑，部分养殖企业和养殖户已经出现亏损状态？作为一名生产管理者，应当如何最大程度做到降本增效？</w:t>
            </w:r>
          </w:p>
        </w:tc>
      </w:tr>
      <w:tr>
        <w:tblPrEx>
          <w:tblCellMar>
            <w:top w:w="0" w:type="dxa"/>
            <w:left w:w="108" w:type="dxa"/>
            <w:bottom w:w="0" w:type="dxa"/>
            <w:right w:w="108" w:type="dxa"/>
          </w:tblCellMar>
        </w:tblPrEx>
        <w:trPr>
          <w:trHeight w:val="300" w:hRule="atLeast"/>
        </w:trPr>
        <w:tc>
          <w:tcPr>
            <w:tcW w:w="2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32</w:t>
            </w:r>
          </w:p>
        </w:tc>
        <w:tc>
          <w:tcPr>
            <w:tcW w:w="176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上海轻合金精密成型国家工程研究中心有限公司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MT114</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小型化、可在复杂环境部署、高灵敏度、高安全性、高稳定性的氢气浓度传感器开发</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MT115</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适用于氢气浓度传感的核心材料或部件研发</w:t>
            </w:r>
          </w:p>
        </w:tc>
      </w:tr>
      <w:tr>
        <w:tblPrEx>
          <w:tblCellMar>
            <w:top w:w="0" w:type="dxa"/>
            <w:left w:w="108" w:type="dxa"/>
            <w:bottom w:w="0" w:type="dxa"/>
            <w:right w:w="108" w:type="dxa"/>
          </w:tblCellMar>
        </w:tblPrEx>
        <w:trPr>
          <w:trHeight w:val="300" w:hRule="atLeast"/>
        </w:trPr>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33</w:t>
            </w:r>
          </w:p>
        </w:tc>
        <w:tc>
          <w:tcPr>
            <w:tcW w:w="17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携程智慧旅游发展有限公司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MT116</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乡村旅游直播</w:t>
            </w:r>
          </w:p>
        </w:tc>
      </w:tr>
      <w:tr>
        <w:tblPrEx>
          <w:tblCellMar>
            <w:top w:w="0" w:type="dxa"/>
            <w:left w:w="108" w:type="dxa"/>
            <w:bottom w:w="0" w:type="dxa"/>
            <w:right w:w="108" w:type="dxa"/>
          </w:tblCellMar>
        </w:tblPrEx>
        <w:trPr>
          <w:trHeight w:val="300" w:hRule="atLeast"/>
        </w:trPr>
        <w:tc>
          <w:tcPr>
            <w:tcW w:w="2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34</w:t>
            </w:r>
          </w:p>
        </w:tc>
        <w:tc>
          <w:tcPr>
            <w:tcW w:w="176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深圳市燃气集团股份有限公司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MT117</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基于智慧城市数据底座的智慧燃气系统开发</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MT118</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5G+智慧燃气系统应用场景建设</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MT119</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城镇燃气管道智能完整性管理系统开发</w:t>
            </w:r>
          </w:p>
        </w:tc>
      </w:tr>
      <w:tr>
        <w:tblPrEx>
          <w:tblCellMar>
            <w:top w:w="0" w:type="dxa"/>
            <w:left w:w="108" w:type="dxa"/>
            <w:bottom w:w="0" w:type="dxa"/>
            <w:right w:w="108" w:type="dxa"/>
          </w:tblCellMar>
        </w:tblPrEx>
        <w:trPr>
          <w:trHeight w:val="300" w:hRule="atLeast"/>
        </w:trPr>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35</w:t>
            </w:r>
          </w:p>
        </w:tc>
        <w:tc>
          <w:tcPr>
            <w:tcW w:w="17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深圳市斯诺实业发展有限公司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MT120</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高容量动力锂电池用氧化铁基负极材料制备</w:t>
            </w:r>
          </w:p>
        </w:tc>
      </w:tr>
      <w:tr>
        <w:tblPrEx>
          <w:tblCellMar>
            <w:top w:w="0" w:type="dxa"/>
            <w:left w:w="108" w:type="dxa"/>
            <w:bottom w:w="0" w:type="dxa"/>
            <w:right w:w="108" w:type="dxa"/>
          </w:tblCellMar>
        </w:tblPrEx>
        <w:trPr>
          <w:trHeight w:val="300" w:hRule="atLeast"/>
        </w:trPr>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36</w:t>
            </w:r>
          </w:p>
        </w:tc>
        <w:tc>
          <w:tcPr>
            <w:tcW w:w="17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深圳特来电新能源有限公司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MT121</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光-氢燃料电池-蓄电池智能微电网系统的开发</w:t>
            </w:r>
          </w:p>
        </w:tc>
      </w:tr>
      <w:tr>
        <w:tblPrEx>
          <w:tblCellMar>
            <w:top w:w="0" w:type="dxa"/>
            <w:left w:w="108" w:type="dxa"/>
            <w:bottom w:w="0" w:type="dxa"/>
            <w:right w:w="108" w:type="dxa"/>
          </w:tblCellMar>
        </w:tblPrEx>
        <w:trPr>
          <w:trHeight w:val="300" w:hRule="atLeast"/>
        </w:trPr>
        <w:tc>
          <w:tcPr>
            <w:tcW w:w="2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37</w:t>
            </w:r>
          </w:p>
        </w:tc>
        <w:tc>
          <w:tcPr>
            <w:tcW w:w="176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曙光信息产业股份有限公司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MT122</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大数据&amp;人工智能技术在扶贫助农建设中的商业应用</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MT123</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大数据分析技术在互联网电商秒杀活动中的应用</w:t>
            </w:r>
          </w:p>
        </w:tc>
      </w:tr>
      <w:tr>
        <w:tblPrEx>
          <w:tblCellMar>
            <w:top w:w="0" w:type="dxa"/>
            <w:left w:w="108" w:type="dxa"/>
            <w:bottom w:w="0" w:type="dxa"/>
            <w:right w:w="108" w:type="dxa"/>
          </w:tblCellMar>
        </w:tblPrEx>
        <w:trPr>
          <w:trHeight w:val="300" w:hRule="atLeast"/>
        </w:trPr>
        <w:tc>
          <w:tcPr>
            <w:tcW w:w="2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38</w:t>
            </w:r>
          </w:p>
        </w:tc>
        <w:tc>
          <w:tcPr>
            <w:tcW w:w="176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数字广西集团有限公司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MT124</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乡村振兴数字化建设</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MT125</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基于商业信用数据应用产品设计方案</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MT126</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产业大数据平台的建及应用服务</w:t>
            </w:r>
          </w:p>
        </w:tc>
      </w:tr>
      <w:tr>
        <w:tblPrEx>
          <w:tblCellMar>
            <w:top w:w="0" w:type="dxa"/>
            <w:left w:w="108" w:type="dxa"/>
            <w:bottom w:w="0" w:type="dxa"/>
            <w:right w:w="108" w:type="dxa"/>
          </w:tblCellMar>
        </w:tblPrEx>
        <w:trPr>
          <w:trHeight w:val="300" w:hRule="atLeast"/>
        </w:trPr>
        <w:tc>
          <w:tcPr>
            <w:tcW w:w="2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39</w:t>
            </w:r>
          </w:p>
        </w:tc>
        <w:tc>
          <w:tcPr>
            <w:tcW w:w="176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腾讯科技（深圳）有限公司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MT127</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微信支付交易欺诈识别</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MT128</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数据库智能管家的创新与探索</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MT129</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基于FISCO BCOS区块链底层平台+X行业的解决方案</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MT130</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手机游戏作为数字疗法在精神疾病治疗中的应用</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MT131</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全真互联网的商业新生态探索</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MT132</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基于FISCO BCOS区块链底层平台设计和实现一套底层性能提升方案</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MT133</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黄河新文创</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MT134</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「虚拟IP」的“智”造创新</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MT135</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长城新文创</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MT136</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基于FISCO BCOS区块链底层平台+社会治理激励方案设计和实现</w:t>
            </w:r>
          </w:p>
        </w:tc>
      </w:tr>
      <w:tr>
        <w:tblPrEx>
          <w:tblCellMar>
            <w:top w:w="0" w:type="dxa"/>
            <w:left w:w="108" w:type="dxa"/>
            <w:bottom w:w="0" w:type="dxa"/>
            <w:right w:w="108" w:type="dxa"/>
          </w:tblCellMar>
        </w:tblPrEx>
        <w:trPr>
          <w:trHeight w:val="300" w:hRule="atLeast"/>
        </w:trPr>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40</w:t>
            </w:r>
          </w:p>
        </w:tc>
        <w:tc>
          <w:tcPr>
            <w:tcW w:w="17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天津出版传媒集团有限公司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MT137</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乡村振兴题材游戏软件研发</w:t>
            </w:r>
          </w:p>
        </w:tc>
      </w:tr>
      <w:tr>
        <w:tblPrEx>
          <w:tblCellMar>
            <w:top w:w="0" w:type="dxa"/>
            <w:left w:w="108" w:type="dxa"/>
            <w:bottom w:w="0" w:type="dxa"/>
            <w:right w:w="108" w:type="dxa"/>
          </w:tblCellMar>
        </w:tblPrEx>
        <w:trPr>
          <w:trHeight w:val="300" w:hRule="atLeast"/>
        </w:trPr>
        <w:tc>
          <w:tcPr>
            <w:tcW w:w="2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41</w:t>
            </w:r>
          </w:p>
        </w:tc>
        <w:tc>
          <w:tcPr>
            <w:tcW w:w="176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天津海尔洗涤电器有限公司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MT138</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轴套自动剥离</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MT139</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总装线生产节拍智能监控系统</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MT140</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注塑外桶快速冷却</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MT141</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内桶自动分离</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MT142</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定盘星智慧生产系统</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MT143</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自动贴盘膜</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MT144</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用户体验洗涤无力</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MT145</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螺钉错漏装视觉检测</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MT146</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电机预装异音检测</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MT147</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自动投放进水管</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MT148</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自动摆放滚筒前配重块</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MT149</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智能识别扫描系统设计</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MT150</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模具外观铬料问题</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MT151</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滚筒观察窗自动开启</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MT152</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挂具脱漆效率提升</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MT153</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LD75A上盖开裂</w:t>
            </w:r>
          </w:p>
        </w:tc>
      </w:tr>
      <w:tr>
        <w:tblPrEx>
          <w:tblCellMar>
            <w:top w:w="0" w:type="dxa"/>
            <w:left w:w="108" w:type="dxa"/>
            <w:bottom w:w="0" w:type="dxa"/>
            <w:right w:w="108" w:type="dxa"/>
          </w:tblCellMar>
        </w:tblPrEx>
        <w:trPr>
          <w:trHeight w:val="300" w:hRule="atLeast"/>
        </w:trPr>
        <w:tc>
          <w:tcPr>
            <w:tcW w:w="2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42</w:t>
            </w:r>
          </w:p>
        </w:tc>
        <w:tc>
          <w:tcPr>
            <w:tcW w:w="176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天津市鸿远电气股份有限公司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MT154</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智能识别人群聚众行为</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MT155</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针对于谷物存储、档案存储的气体智能识别装置</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MT156</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区域环境中烟火的识别</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MT157</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区域环境中高空抛物识别</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MT158</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电动自行车智能配套充电接口、插头</w:t>
            </w:r>
          </w:p>
        </w:tc>
      </w:tr>
      <w:tr>
        <w:tblPrEx>
          <w:tblCellMar>
            <w:top w:w="0" w:type="dxa"/>
            <w:left w:w="108" w:type="dxa"/>
            <w:bottom w:w="0" w:type="dxa"/>
            <w:right w:w="108" w:type="dxa"/>
          </w:tblCellMar>
        </w:tblPrEx>
        <w:trPr>
          <w:trHeight w:val="300" w:hRule="atLeast"/>
        </w:trPr>
        <w:tc>
          <w:tcPr>
            <w:tcW w:w="2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43</w:t>
            </w:r>
          </w:p>
        </w:tc>
        <w:tc>
          <w:tcPr>
            <w:tcW w:w="176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天下秀数字科技（集团）股份有限公司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MT159</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以Z世代为消费客户群体，打造能够带动潮流的虚拟形象或虚拟IP及运营方案</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MT160</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基于新媒体营销中个人及广告主进行价值创造过程中的数据分析和推广方案设计</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MT161</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基于新媒体营销能力及专业学科建设构建联合人才培养解决方案</w:t>
            </w:r>
          </w:p>
        </w:tc>
      </w:tr>
      <w:tr>
        <w:tblPrEx>
          <w:tblCellMar>
            <w:top w:w="0" w:type="dxa"/>
            <w:left w:w="108" w:type="dxa"/>
            <w:bottom w:w="0" w:type="dxa"/>
            <w:right w:w="108" w:type="dxa"/>
          </w:tblCellMar>
        </w:tblPrEx>
        <w:trPr>
          <w:trHeight w:val="300" w:hRule="atLeast"/>
        </w:trPr>
        <w:tc>
          <w:tcPr>
            <w:tcW w:w="2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44</w:t>
            </w:r>
          </w:p>
        </w:tc>
        <w:tc>
          <w:tcPr>
            <w:tcW w:w="176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西门子工厂自动化工程有限公司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MT162</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工业4.0创新设计与研发</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MT163</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工业控制创新设计与研发</w:t>
            </w:r>
          </w:p>
        </w:tc>
      </w:tr>
      <w:tr>
        <w:tblPrEx>
          <w:tblCellMar>
            <w:top w:w="0" w:type="dxa"/>
            <w:left w:w="108" w:type="dxa"/>
            <w:bottom w:w="0" w:type="dxa"/>
            <w:right w:w="108" w:type="dxa"/>
          </w:tblCellMar>
        </w:tblPrEx>
        <w:trPr>
          <w:trHeight w:val="300" w:hRule="atLeast"/>
        </w:trPr>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45</w:t>
            </w:r>
          </w:p>
        </w:tc>
        <w:tc>
          <w:tcPr>
            <w:tcW w:w="17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仙鹤股份有限公司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MT164</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环保型纸基超疏水过滤 新材料</w:t>
            </w:r>
          </w:p>
        </w:tc>
      </w:tr>
      <w:tr>
        <w:tblPrEx>
          <w:tblCellMar>
            <w:top w:w="0" w:type="dxa"/>
            <w:left w:w="108" w:type="dxa"/>
            <w:bottom w:w="0" w:type="dxa"/>
            <w:right w:w="108" w:type="dxa"/>
          </w:tblCellMar>
        </w:tblPrEx>
        <w:trPr>
          <w:trHeight w:val="300" w:hRule="atLeast"/>
        </w:trPr>
        <w:tc>
          <w:tcPr>
            <w:tcW w:w="2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46</w:t>
            </w:r>
          </w:p>
        </w:tc>
        <w:tc>
          <w:tcPr>
            <w:tcW w:w="176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新大陆科技集团有限公司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MT165</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AioT智慧停车系统</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MT166</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AioT智慧社区服务</w:t>
            </w:r>
          </w:p>
        </w:tc>
      </w:tr>
      <w:tr>
        <w:tblPrEx>
          <w:tblCellMar>
            <w:top w:w="0" w:type="dxa"/>
            <w:left w:w="108" w:type="dxa"/>
            <w:bottom w:w="0" w:type="dxa"/>
            <w:right w:w="108" w:type="dxa"/>
          </w:tblCellMar>
        </w:tblPrEx>
        <w:trPr>
          <w:trHeight w:val="300" w:hRule="atLeast"/>
        </w:trPr>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47</w:t>
            </w:r>
          </w:p>
        </w:tc>
        <w:tc>
          <w:tcPr>
            <w:tcW w:w="17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新疆天物生态科技股份有限公司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MT167</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改善西北地区土壤沙化的解决方案</w:t>
            </w:r>
          </w:p>
        </w:tc>
      </w:tr>
      <w:tr>
        <w:tblPrEx>
          <w:tblCellMar>
            <w:top w:w="0" w:type="dxa"/>
            <w:left w:w="108" w:type="dxa"/>
            <w:bottom w:w="0" w:type="dxa"/>
            <w:right w:w="108" w:type="dxa"/>
          </w:tblCellMar>
        </w:tblPrEx>
        <w:trPr>
          <w:trHeight w:val="300" w:hRule="atLeast"/>
        </w:trPr>
        <w:tc>
          <w:tcPr>
            <w:tcW w:w="2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48</w:t>
            </w:r>
          </w:p>
        </w:tc>
        <w:tc>
          <w:tcPr>
            <w:tcW w:w="176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海尔卡奥斯物联生态科技有限公司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MT168</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复杂工业生产环境下的家电异音检测算法</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MT169</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基于产品全生命周期的工业互联智能管理解决方案（具体行业/通用方案）</w:t>
            </w:r>
          </w:p>
        </w:tc>
      </w:tr>
      <w:tr>
        <w:tblPrEx>
          <w:tblCellMar>
            <w:top w:w="0" w:type="dxa"/>
            <w:left w:w="108" w:type="dxa"/>
            <w:bottom w:w="0" w:type="dxa"/>
            <w:right w:w="108" w:type="dxa"/>
          </w:tblCellMar>
        </w:tblPrEx>
        <w:trPr>
          <w:trHeight w:val="300" w:hRule="atLeast"/>
        </w:trPr>
        <w:tc>
          <w:tcPr>
            <w:tcW w:w="2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49</w:t>
            </w:r>
          </w:p>
        </w:tc>
        <w:tc>
          <w:tcPr>
            <w:tcW w:w="176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用友网络科技股份有限公司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MT170</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工业大脑APP</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MT171</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物联网：基于用友物联网（AIoT）平台的智能车联系统</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MT172</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数字经济创新商业模式设计</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MT173</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工业APP创新应用</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MT174</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社会级企业新应用</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MT175</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区块链技术应用</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MT176</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区块链-工业互联网</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MT177</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企业数字化转型经营管理创新</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MT178</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基于多种复杂约束条件下的智能排产</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MT179</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工业APP创新应用：智能工厂</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MT180</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工业APP创新应用：生产制造</w:t>
            </w:r>
          </w:p>
        </w:tc>
      </w:tr>
      <w:tr>
        <w:tblPrEx>
          <w:tblCellMar>
            <w:top w:w="0" w:type="dxa"/>
            <w:left w:w="108" w:type="dxa"/>
            <w:bottom w:w="0" w:type="dxa"/>
            <w:right w:w="108" w:type="dxa"/>
          </w:tblCellMar>
        </w:tblPrEx>
        <w:trPr>
          <w:trHeight w:val="300" w:hRule="atLeast"/>
        </w:trPr>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50</w:t>
            </w:r>
          </w:p>
        </w:tc>
        <w:tc>
          <w:tcPr>
            <w:tcW w:w="17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有研工程技术研究院有限公司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MT181</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高安全低压固态储氢合金及储氢系统</w:t>
            </w:r>
          </w:p>
        </w:tc>
      </w:tr>
      <w:tr>
        <w:tblPrEx>
          <w:tblCellMar>
            <w:top w:w="0" w:type="dxa"/>
            <w:left w:w="108" w:type="dxa"/>
            <w:bottom w:w="0" w:type="dxa"/>
            <w:right w:w="108" w:type="dxa"/>
          </w:tblCellMar>
        </w:tblPrEx>
        <w:trPr>
          <w:trHeight w:val="300" w:hRule="atLeast"/>
        </w:trPr>
        <w:tc>
          <w:tcPr>
            <w:tcW w:w="2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51</w:t>
            </w:r>
          </w:p>
        </w:tc>
        <w:tc>
          <w:tcPr>
            <w:tcW w:w="176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宇通客车股份有限公司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MT182</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新一代商用车智能底盘</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MT183</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高性能商用车电液耦合 转向系统</w:t>
            </w:r>
          </w:p>
        </w:tc>
      </w:tr>
      <w:tr>
        <w:tblPrEx>
          <w:tblCellMar>
            <w:top w:w="0" w:type="dxa"/>
            <w:left w:w="108" w:type="dxa"/>
            <w:bottom w:w="0" w:type="dxa"/>
            <w:right w:w="108" w:type="dxa"/>
          </w:tblCellMar>
        </w:tblPrEx>
        <w:trPr>
          <w:trHeight w:val="300" w:hRule="atLeast"/>
        </w:trPr>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52</w:t>
            </w:r>
          </w:p>
        </w:tc>
        <w:tc>
          <w:tcPr>
            <w:tcW w:w="17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云南大为制焦有限公司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MT184</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高效同步净化工业尾气中多污染物的新技术</w:t>
            </w:r>
          </w:p>
        </w:tc>
      </w:tr>
      <w:tr>
        <w:tblPrEx>
          <w:tblCellMar>
            <w:top w:w="0" w:type="dxa"/>
            <w:left w:w="108" w:type="dxa"/>
            <w:bottom w:w="0" w:type="dxa"/>
            <w:right w:w="108" w:type="dxa"/>
          </w:tblCellMar>
        </w:tblPrEx>
        <w:trPr>
          <w:trHeight w:val="300" w:hRule="atLeast"/>
        </w:trPr>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53</w:t>
            </w:r>
          </w:p>
        </w:tc>
        <w:tc>
          <w:tcPr>
            <w:tcW w:w="17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浙江天宇药业股份有限公司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MT185</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沙坦原料药化合物及其衍生产品生产中高性能催化剂开发</w:t>
            </w:r>
          </w:p>
        </w:tc>
      </w:tr>
      <w:tr>
        <w:tblPrEx>
          <w:tblCellMar>
            <w:top w:w="0" w:type="dxa"/>
            <w:left w:w="108" w:type="dxa"/>
            <w:bottom w:w="0" w:type="dxa"/>
            <w:right w:w="108" w:type="dxa"/>
          </w:tblCellMar>
        </w:tblPrEx>
        <w:trPr>
          <w:trHeight w:val="300" w:hRule="atLeast"/>
        </w:trPr>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54</w:t>
            </w:r>
          </w:p>
        </w:tc>
        <w:tc>
          <w:tcPr>
            <w:tcW w:w="17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浙江浙大中控信息技术有限公司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MT186</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全息数智交通：基于雷视融合的交通数智孪生领航员</w:t>
            </w:r>
          </w:p>
        </w:tc>
      </w:tr>
      <w:tr>
        <w:tblPrEx>
          <w:tblCellMar>
            <w:top w:w="0" w:type="dxa"/>
            <w:left w:w="108" w:type="dxa"/>
            <w:bottom w:w="0" w:type="dxa"/>
            <w:right w:w="108" w:type="dxa"/>
          </w:tblCellMar>
        </w:tblPrEx>
        <w:trPr>
          <w:trHeight w:val="300" w:hRule="atLeast"/>
        </w:trPr>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sz w:val="28"/>
                <w:szCs w:val="28"/>
              </w:rPr>
            </w:pPr>
            <w:r>
              <w:rPr>
                <w:rFonts w:hint="eastAsia" w:ascii="仿宋_GB2312" w:hAnsi="仿宋" w:eastAsia="仿宋_GB2312" w:cs="仿宋"/>
                <w:kern w:val="0"/>
                <w:sz w:val="28"/>
                <w:szCs w:val="28"/>
                <w:lang w:bidi="ar"/>
              </w:rPr>
              <w:t>55</w:t>
            </w:r>
          </w:p>
        </w:tc>
        <w:tc>
          <w:tcPr>
            <w:tcW w:w="17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sz w:val="28"/>
                <w:szCs w:val="28"/>
              </w:rPr>
            </w:pPr>
            <w:r>
              <w:rPr>
                <w:rFonts w:hint="eastAsia" w:ascii="仿宋_GB2312" w:hAnsi="仿宋" w:eastAsia="仿宋_GB2312" w:cs="仿宋"/>
                <w:kern w:val="0"/>
                <w:sz w:val="28"/>
                <w:szCs w:val="28"/>
                <w:lang w:bidi="ar"/>
              </w:rPr>
              <w:t>中船海洋动力部件有限公司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kern w:val="0"/>
                <w:sz w:val="28"/>
                <w:szCs w:val="28"/>
                <w:lang w:bidi="ar"/>
              </w:rPr>
            </w:pPr>
            <w:r>
              <w:rPr>
                <w:rFonts w:hint="eastAsia"/>
                <w:color w:val="000000"/>
                <w:sz w:val="22"/>
              </w:rPr>
              <w:t>MT187</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sz w:val="28"/>
                <w:szCs w:val="28"/>
              </w:rPr>
            </w:pPr>
            <w:r>
              <w:rPr>
                <w:rFonts w:hint="eastAsia" w:ascii="仿宋_GB2312" w:hAnsi="仿宋" w:eastAsia="仿宋_GB2312" w:cs="仿宋"/>
                <w:kern w:val="0"/>
                <w:sz w:val="28"/>
                <w:szCs w:val="28"/>
                <w:lang w:bidi="ar"/>
              </w:rPr>
              <w:t>大型船用发动机零部件智能铸造</w:t>
            </w:r>
          </w:p>
        </w:tc>
      </w:tr>
      <w:tr>
        <w:tblPrEx>
          <w:tblCellMar>
            <w:top w:w="0" w:type="dxa"/>
            <w:left w:w="108" w:type="dxa"/>
            <w:bottom w:w="0" w:type="dxa"/>
            <w:right w:w="108" w:type="dxa"/>
          </w:tblCellMar>
        </w:tblPrEx>
        <w:trPr>
          <w:trHeight w:val="300" w:hRule="atLeast"/>
        </w:trPr>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sz w:val="28"/>
                <w:szCs w:val="28"/>
              </w:rPr>
            </w:pPr>
            <w:r>
              <w:rPr>
                <w:rFonts w:hint="eastAsia" w:ascii="仿宋_GB2312" w:hAnsi="仿宋" w:eastAsia="仿宋_GB2312" w:cs="仿宋"/>
                <w:kern w:val="0"/>
                <w:sz w:val="28"/>
                <w:szCs w:val="28"/>
                <w:lang w:bidi="ar"/>
              </w:rPr>
              <w:t>56</w:t>
            </w:r>
          </w:p>
        </w:tc>
        <w:tc>
          <w:tcPr>
            <w:tcW w:w="17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sz w:val="28"/>
                <w:szCs w:val="28"/>
              </w:rPr>
            </w:pPr>
            <w:r>
              <w:rPr>
                <w:rFonts w:hint="eastAsia" w:ascii="仿宋_GB2312" w:hAnsi="仿宋" w:eastAsia="仿宋_GB2312" w:cs="仿宋"/>
                <w:kern w:val="0"/>
                <w:sz w:val="28"/>
                <w:szCs w:val="28"/>
                <w:lang w:bidi="ar"/>
              </w:rPr>
              <w:t>中国电子科技集团公司第十四研究所</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kern w:val="0"/>
                <w:sz w:val="28"/>
                <w:szCs w:val="28"/>
                <w:lang w:bidi="ar"/>
              </w:rPr>
            </w:pPr>
            <w:r>
              <w:rPr>
                <w:rFonts w:hint="eastAsia"/>
                <w:color w:val="000000"/>
                <w:sz w:val="22"/>
              </w:rPr>
              <w:t>MT188</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sz w:val="28"/>
                <w:szCs w:val="28"/>
              </w:rPr>
            </w:pPr>
            <w:r>
              <w:rPr>
                <w:rFonts w:hint="eastAsia" w:ascii="仿宋_GB2312" w:hAnsi="仿宋" w:eastAsia="仿宋_GB2312" w:cs="仿宋"/>
                <w:kern w:val="0"/>
                <w:sz w:val="28"/>
                <w:szCs w:val="28"/>
                <w:lang w:bidi="ar"/>
              </w:rPr>
              <w:t>面向无人机群目标的探测和意图识别系统</w:t>
            </w:r>
          </w:p>
        </w:tc>
      </w:tr>
      <w:tr>
        <w:tblPrEx>
          <w:tblCellMar>
            <w:top w:w="0" w:type="dxa"/>
            <w:left w:w="108" w:type="dxa"/>
            <w:bottom w:w="0" w:type="dxa"/>
            <w:right w:w="108" w:type="dxa"/>
          </w:tblCellMar>
        </w:tblPrEx>
        <w:trPr>
          <w:trHeight w:val="300" w:hRule="atLeast"/>
        </w:trPr>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sz w:val="28"/>
                <w:szCs w:val="28"/>
              </w:rPr>
            </w:pPr>
            <w:r>
              <w:rPr>
                <w:rFonts w:hint="eastAsia" w:ascii="仿宋_GB2312" w:hAnsi="仿宋" w:eastAsia="仿宋_GB2312" w:cs="仿宋"/>
                <w:kern w:val="0"/>
                <w:sz w:val="28"/>
                <w:szCs w:val="28"/>
                <w:lang w:bidi="ar"/>
              </w:rPr>
              <w:t>57</w:t>
            </w:r>
          </w:p>
        </w:tc>
        <w:tc>
          <w:tcPr>
            <w:tcW w:w="17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sz w:val="28"/>
                <w:szCs w:val="28"/>
              </w:rPr>
            </w:pPr>
            <w:r>
              <w:rPr>
                <w:rFonts w:hint="eastAsia" w:ascii="仿宋_GB2312" w:hAnsi="仿宋" w:eastAsia="仿宋_GB2312" w:cs="仿宋"/>
                <w:kern w:val="0"/>
                <w:sz w:val="28"/>
                <w:szCs w:val="28"/>
                <w:lang w:bidi="ar"/>
              </w:rPr>
              <w:t>中国航天科工集团第三研究院第三</w:t>
            </w:r>
            <w:r>
              <w:rPr>
                <w:rFonts w:hint="eastAsia" w:ascii="微软雅黑" w:hAnsi="微软雅黑" w:eastAsia="微软雅黑" w:cs="微软雅黑"/>
                <w:kern w:val="0"/>
                <w:sz w:val="28"/>
                <w:szCs w:val="28"/>
                <w:lang w:bidi="ar"/>
              </w:rPr>
              <w:t>〇</w:t>
            </w:r>
            <w:r>
              <w:rPr>
                <w:rFonts w:hint="eastAsia" w:ascii="仿宋_GB2312" w:hAnsi="仿宋_GB2312" w:eastAsia="仿宋_GB2312" w:cs="仿宋_GB2312"/>
                <w:kern w:val="0"/>
                <w:sz w:val="28"/>
                <w:szCs w:val="28"/>
                <w:lang w:bidi="ar"/>
              </w:rPr>
              <w:t>四研究所</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kern w:val="0"/>
                <w:sz w:val="28"/>
                <w:szCs w:val="28"/>
                <w:lang w:bidi="ar"/>
              </w:rPr>
            </w:pPr>
            <w:r>
              <w:rPr>
                <w:rFonts w:hint="eastAsia"/>
                <w:color w:val="000000"/>
                <w:sz w:val="22"/>
              </w:rPr>
              <w:t>MT189</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sz w:val="28"/>
                <w:szCs w:val="28"/>
              </w:rPr>
            </w:pPr>
            <w:r>
              <w:rPr>
                <w:rFonts w:hint="eastAsia" w:ascii="仿宋_GB2312" w:hAnsi="仿宋" w:eastAsia="仿宋_GB2312" w:cs="仿宋"/>
                <w:kern w:val="0"/>
                <w:sz w:val="28"/>
                <w:szCs w:val="28"/>
                <w:lang w:bidi="ar"/>
              </w:rPr>
              <w:t>基于数学孪生的工业流场三维层析成像检测系统</w:t>
            </w:r>
          </w:p>
        </w:tc>
      </w:tr>
      <w:tr>
        <w:tblPrEx>
          <w:tblCellMar>
            <w:top w:w="0" w:type="dxa"/>
            <w:left w:w="108" w:type="dxa"/>
            <w:bottom w:w="0" w:type="dxa"/>
            <w:right w:w="108" w:type="dxa"/>
          </w:tblCellMar>
        </w:tblPrEx>
        <w:trPr>
          <w:trHeight w:val="300" w:hRule="atLeast"/>
        </w:trPr>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58</w:t>
            </w:r>
          </w:p>
        </w:tc>
        <w:tc>
          <w:tcPr>
            <w:tcW w:w="17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中国南方航空股份有限公司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MT190</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互联飞机智慧运维服务应用场景与模型算法开发</w:t>
            </w:r>
          </w:p>
        </w:tc>
      </w:tr>
      <w:tr>
        <w:tblPrEx>
          <w:tblCellMar>
            <w:top w:w="0" w:type="dxa"/>
            <w:left w:w="108" w:type="dxa"/>
            <w:bottom w:w="0" w:type="dxa"/>
            <w:right w:w="108" w:type="dxa"/>
          </w:tblCellMar>
        </w:tblPrEx>
        <w:trPr>
          <w:trHeight w:val="300" w:hRule="atLeast"/>
        </w:trPr>
        <w:tc>
          <w:tcPr>
            <w:tcW w:w="2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59</w:t>
            </w:r>
          </w:p>
        </w:tc>
        <w:tc>
          <w:tcPr>
            <w:tcW w:w="176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中国冶金科技成果转化有限公司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MT191</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家用氢能供电系统解决方案</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MT192</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固态锂电池用高性能复合电解质制备和产业化</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MT193</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超黑材料及碳基复合吸波材料与器件产业化研究</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MT194</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OLED柔性显示关键材料和技术产业化</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MT195</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新能源工程车辆高安全性电池包热管理技术与应用</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MT196</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减隔震装置大流量需求下动态伺服液压控制</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MT197</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基于物联网金属矿智慧应急专家决策系统</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MT198</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固态电池关键材料及技术产业化</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MT199</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OLED柔性显示用的聚酰亚胺关键材料开发</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MT200</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矿山用 低能耗水资源循环再生系统材料和器件产业化</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MT201</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高性能纳米多孔气凝胶复合材料研发与产业化</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MT202</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耐热钢表面抗氧化隔热涂层的低成本制备技术</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MT203</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减隔震装置压剪复合状态下动态力检测分析</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MT204</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大载荷与大位移下动静态协调加载减隔震装置检测装备设计</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MT205</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渣包场渣包裂纹检测系统</w:t>
            </w:r>
          </w:p>
        </w:tc>
      </w:tr>
      <w:tr>
        <w:tblPrEx>
          <w:tblCellMar>
            <w:top w:w="0" w:type="dxa"/>
            <w:left w:w="108" w:type="dxa"/>
            <w:bottom w:w="0" w:type="dxa"/>
            <w:right w:w="108" w:type="dxa"/>
          </w:tblCellMar>
        </w:tblPrEx>
        <w:trPr>
          <w:trHeight w:val="300" w:hRule="atLeast"/>
        </w:trPr>
        <w:tc>
          <w:tcPr>
            <w:tcW w:w="2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60</w:t>
            </w:r>
          </w:p>
        </w:tc>
        <w:tc>
          <w:tcPr>
            <w:tcW w:w="176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中科曙光南京研究院有限公司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MT206</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地址信息标准化转换</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MT207</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政务文档内容自动识别</w:t>
            </w:r>
          </w:p>
        </w:tc>
      </w:tr>
      <w:tr>
        <w:tblPrEx>
          <w:tblCellMar>
            <w:top w:w="0" w:type="dxa"/>
            <w:left w:w="108" w:type="dxa"/>
            <w:bottom w:w="0" w:type="dxa"/>
            <w:right w:w="108" w:type="dxa"/>
          </w:tblCellMar>
        </w:tblPrEx>
        <w:trPr>
          <w:trHeight w:val="300" w:hRule="atLeast"/>
        </w:trPr>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61</w:t>
            </w:r>
          </w:p>
        </w:tc>
        <w:tc>
          <w:tcPr>
            <w:tcW w:w="17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中联企业管理集团有限公司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MT208</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攻克数字财经硬核科技，创新企业营商和乡村振兴数字生态基础设施</w:t>
            </w:r>
          </w:p>
        </w:tc>
      </w:tr>
      <w:tr>
        <w:tblPrEx>
          <w:tblCellMar>
            <w:top w:w="0" w:type="dxa"/>
            <w:left w:w="108" w:type="dxa"/>
            <w:bottom w:w="0" w:type="dxa"/>
            <w:right w:w="108" w:type="dxa"/>
          </w:tblCellMar>
        </w:tblPrEx>
        <w:trPr>
          <w:trHeight w:val="300" w:hRule="atLeast"/>
        </w:trPr>
        <w:tc>
          <w:tcPr>
            <w:tcW w:w="2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62</w:t>
            </w:r>
          </w:p>
        </w:tc>
        <w:tc>
          <w:tcPr>
            <w:tcW w:w="176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中路交建（北京）工程材料技术有限公司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MT209</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冰消路现——开启全方位路面防冻抗滑新纪元</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MT210</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科技助力平安交通——高黏改性沥青排水路面</w:t>
            </w:r>
          </w:p>
        </w:tc>
      </w:tr>
      <w:tr>
        <w:tblPrEx>
          <w:tblCellMar>
            <w:top w:w="0" w:type="dxa"/>
            <w:left w:w="108" w:type="dxa"/>
            <w:bottom w:w="0" w:type="dxa"/>
            <w:right w:w="108" w:type="dxa"/>
          </w:tblCellMar>
        </w:tblPrEx>
        <w:trPr>
          <w:trHeight w:val="300" w:hRule="atLeast"/>
        </w:trPr>
        <w:tc>
          <w:tcPr>
            <w:tcW w:w="2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63</w:t>
            </w:r>
          </w:p>
        </w:tc>
        <w:tc>
          <w:tcPr>
            <w:tcW w:w="176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中石化中原石油工程设计有限公司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MT211</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天然气管道泄漏探测预警方案</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MT212</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含硫烟气余热回收方案</w:t>
            </w:r>
          </w:p>
        </w:tc>
      </w:tr>
      <w:tr>
        <w:tblPrEx>
          <w:tblCellMar>
            <w:top w:w="0" w:type="dxa"/>
            <w:left w:w="108" w:type="dxa"/>
            <w:bottom w:w="0" w:type="dxa"/>
            <w:right w:w="108" w:type="dxa"/>
          </w:tblCellMar>
        </w:tblPrEx>
        <w:trPr>
          <w:trHeight w:val="300" w:hRule="atLeast"/>
        </w:trPr>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64</w:t>
            </w:r>
          </w:p>
        </w:tc>
        <w:tc>
          <w:tcPr>
            <w:tcW w:w="17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重庆市现代假肢技术服务中心</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MT213</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假肢接受腔3D建模合成处理技术</w:t>
            </w:r>
          </w:p>
        </w:tc>
      </w:tr>
      <w:tr>
        <w:tblPrEx>
          <w:tblCellMar>
            <w:top w:w="0" w:type="dxa"/>
            <w:left w:w="108" w:type="dxa"/>
            <w:bottom w:w="0" w:type="dxa"/>
            <w:right w:w="108" w:type="dxa"/>
          </w:tblCellMar>
        </w:tblPrEx>
        <w:trPr>
          <w:trHeight w:val="300" w:hRule="atLeast"/>
        </w:trPr>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65</w:t>
            </w:r>
          </w:p>
        </w:tc>
        <w:tc>
          <w:tcPr>
            <w:tcW w:w="17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中国北方车辆研究所</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MT214</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受热部件热冲击疲劳试验测试平台</w:t>
            </w:r>
          </w:p>
        </w:tc>
      </w:tr>
      <w:tr>
        <w:tblPrEx>
          <w:tblCellMar>
            <w:top w:w="0" w:type="dxa"/>
            <w:left w:w="108" w:type="dxa"/>
            <w:bottom w:w="0" w:type="dxa"/>
            <w:right w:w="108" w:type="dxa"/>
          </w:tblCellMar>
        </w:tblPrEx>
        <w:trPr>
          <w:trHeight w:val="300" w:hRule="atLeast"/>
        </w:trPr>
        <w:tc>
          <w:tcPr>
            <w:tcW w:w="2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66</w:t>
            </w:r>
          </w:p>
        </w:tc>
        <w:tc>
          <w:tcPr>
            <w:tcW w:w="176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株洲国创轨道科技有限公司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MT215</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轨道交通AR/VR资源混合云平台</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MT216</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轨道车辆智能运维数字孪生解决方案</w:t>
            </w:r>
          </w:p>
        </w:tc>
      </w:tr>
      <w:tr>
        <w:tblPrEx>
          <w:tblCellMar>
            <w:top w:w="0" w:type="dxa"/>
            <w:left w:w="108" w:type="dxa"/>
            <w:bottom w:w="0" w:type="dxa"/>
            <w:right w:w="108" w:type="dxa"/>
          </w:tblCellMar>
        </w:tblPrEx>
        <w:trPr>
          <w:trHeight w:val="300" w:hRule="atLeast"/>
        </w:trPr>
        <w:tc>
          <w:tcPr>
            <w:tcW w:w="2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7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MT217</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基于虚实结合的机车乘务员高效培训系统研究</w:t>
            </w:r>
          </w:p>
        </w:tc>
      </w:tr>
      <w:tr>
        <w:tblPrEx>
          <w:tblCellMar>
            <w:top w:w="0" w:type="dxa"/>
            <w:left w:w="108" w:type="dxa"/>
            <w:bottom w:w="0" w:type="dxa"/>
            <w:right w:w="108" w:type="dxa"/>
          </w:tblCellMar>
        </w:tblPrEx>
        <w:trPr>
          <w:trHeight w:val="300" w:hRule="atLeast"/>
        </w:trPr>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67</w:t>
            </w:r>
          </w:p>
        </w:tc>
        <w:tc>
          <w:tcPr>
            <w:tcW w:w="17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北京小白世纪网络科技有限公司</w:t>
            </w:r>
          </w:p>
        </w:tc>
        <w:tc>
          <w:tcPr>
            <w:tcW w:w="457" w:type="pct"/>
            <w:tcBorders>
              <w:top w:val="single" w:color="000000" w:sz="4" w:space="0"/>
              <w:left w:val="single" w:color="000000" w:sz="4" w:space="0"/>
              <w:bottom w:val="single" w:color="000000" w:sz="4" w:space="0"/>
              <w:right w:val="single" w:color="000000" w:sz="4" w:space="0"/>
            </w:tcBorders>
            <w:shd w:val="clear" w:color="auto" w:fill="FFFFFF"/>
            <w:vAlign w:val="bottom"/>
          </w:tcPr>
          <w:p>
            <w:pPr>
              <w:widowControl/>
              <w:spacing w:line="500" w:lineRule="exact"/>
              <w:jc w:val="left"/>
              <w:textAlignment w:val="center"/>
              <w:rPr>
                <w:rFonts w:ascii="仿宋_GB2312" w:hAnsi="仿宋" w:eastAsia="仿宋_GB2312" w:cs="仿宋"/>
                <w:color w:val="000000"/>
                <w:kern w:val="0"/>
                <w:sz w:val="28"/>
                <w:szCs w:val="28"/>
                <w:lang w:bidi="ar"/>
              </w:rPr>
            </w:pPr>
            <w:r>
              <w:rPr>
                <w:rFonts w:hint="eastAsia"/>
                <w:color w:val="000000"/>
                <w:sz w:val="22"/>
              </w:rPr>
              <w:t>MT218</w:t>
            </w:r>
          </w:p>
        </w:tc>
        <w:tc>
          <w:tcPr>
            <w:tcW w:w="25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AI智能掌超设备及辅助诊断系统</w:t>
            </w:r>
          </w:p>
        </w:tc>
      </w:tr>
    </w:tbl>
    <w:p>
      <w:pPr>
        <w:snapToGrid w:val="0"/>
        <w:spacing w:line="560" w:lineRule="exact"/>
        <w:jc w:val="left"/>
      </w:pPr>
    </w:p>
    <w:p>
      <w:pPr>
        <w:rPr>
          <w:rFonts w:ascii="仿宋" w:hAnsi="仿宋" w:eastAsia="仿宋"/>
          <w:sz w:val="32"/>
          <w:szCs w:val="32"/>
        </w:rPr>
      </w:pPr>
    </w:p>
    <w:sectPr>
      <w:headerReference r:id="rId5" w:type="even"/>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魏碑_GBK">
    <w:altName w:val="宋体"/>
    <w:panose1 w:val="00000000000000000000"/>
    <w:charset w:val="86"/>
    <w:family w:val="script"/>
    <w:pitch w:val="default"/>
    <w:sig w:usb0="00000000" w:usb1="00000000" w:usb2="00000000" w:usb3="00000000" w:csb0="00000000" w:csb1="00000000"/>
  </w:font>
  <w:font w:name="方正仿宋_GBK">
    <w:altName w:val="Arial Unicode MS"/>
    <w:panose1 w:val="00000000000000000000"/>
    <w:charset w:val="86"/>
    <w:family w:val="script"/>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楷体_GBK">
    <w:altName w:val="Arial Unicode MS"/>
    <w:panose1 w:val="00000000000000000000"/>
    <w:charset w:val="86"/>
    <w:family w:val="script"/>
    <w:pitch w:val="default"/>
    <w:sig w:usb0="00000000" w:usb1="00000000" w:usb2="00000000" w:usb3="00000000" w:csb0="00000000" w:csb1="00000000"/>
  </w:font>
  <w:font w:name="MS UI Gothic">
    <w:panose1 w:val="020B0600070205080204"/>
    <w:charset w:val="80"/>
    <w:family w:val="swiss"/>
    <w:pitch w:val="default"/>
    <w:sig w:usb0="E00002FF" w:usb1="6AC7FDFB" w:usb2="00000012" w:usb3="00000000" w:csb0="4002009F" w:csb1="DFD70000"/>
  </w:font>
  <w:font w:name="方正书宋_GBK">
    <w:altName w:val="Arial Unicode MS"/>
    <w:panose1 w:val="00000000000000000000"/>
    <w:charset w:val="86"/>
    <w:family w:val="script"/>
    <w:pitch w:val="default"/>
    <w:sig w:usb0="00000000" w:usb1="00000000" w:usb2="00000000" w:usb3="00000000" w:csb0="00000000"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altName w:val="Microsoft YaHei UI"/>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8CF3C52" w:usb2="00000016" w:usb3="00000000" w:csb0="0004001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17</w:t>
    </w:r>
    <w:r>
      <w:rPr>
        <w:rFonts w:ascii="宋体" w:hAnsi="宋体" w:eastAsia="宋体"/>
        <w:sz w:val="21"/>
        <w:szCs w:val="21"/>
      </w:rPr>
      <w:fldChar w:fldCharType="end"/>
    </w:r>
  </w:p>
  <w:p>
    <w:pPr>
      <w:spacing w:line="1" w:lineRule="exact"/>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eastAsia="宋体"/>
        <w:sz w:val="21"/>
        <w:szCs w:val="21"/>
      </w:rPr>
    </w:pP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88E"/>
    <w:rsid w:val="000C6247"/>
    <w:rsid w:val="00132544"/>
    <w:rsid w:val="002E0C37"/>
    <w:rsid w:val="00422C73"/>
    <w:rsid w:val="00491B0E"/>
    <w:rsid w:val="00785219"/>
    <w:rsid w:val="007C0B35"/>
    <w:rsid w:val="007F0239"/>
    <w:rsid w:val="00824915"/>
    <w:rsid w:val="00A6094D"/>
    <w:rsid w:val="00D5788E"/>
    <w:rsid w:val="088E3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1" w:semiHidden="0" w:name="heading 1"/>
    <w:lsdException w:qFormat="1" w:unhideWhenUsed="0" w:uiPriority="1" w:semiHidden="0" w:name="heading 2"/>
    <w:lsdException w:qFormat="1" w:unhideWhenUsed="0" w:uiPriority="9"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bCs/>
      <w:kern w:val="2"/>
      <w:sz w:val="21"/>
      <w:szCs w:val="22"/>
      <w:lang w:val="en-US" w:eastAsia="zh-CN" w:bidi="ar-SA"/>
    </w:rPr>
  </w:style>
  <w:style w:type="paragraph" w:styleId="2">
    <w:name w:val="heading 1"/>
    <w:basedOn w:val="1"/>
    <w:next w:val="1"/>
    <w:qFormat/>
    <w:uiPriority w:val="1"/>
    <w:pPr>
      <w:keepNext/>
      <w:keepLines/>
      <w:spacing w:before="340" w:after="330" w:line="578" w:lineRule="auto"/>
      <w:outlineLvl w:val="0"/>
    </w:pPr>
    <w:rPr>
      <w:b/>
      <w:kern w:val="44"/>
      <w:sz w:val="44"/>
    </w:rPr>
  </w:style>
  <w:style w:type="paragraph" w:styleId="3">
    <w:name w:val="heading 2"/>
    <w:basedOn w:val="1"/>
    <w:next w:val="1"/>
    <w:qFormat/>
    <w:uiPriority w:val="1"/>
    <w:pPr>
      <w:keepNext/>
      <w:keepLines/>
      <w:spacing w:before="260" w:after="260" w:line="415" w:lineRule="auto"/>
      <w:outlineLvl w:val="1"/>
    </w:pPr>
    <w:rPr>
      <w:rFonts w:ascii="Arial" w:hAnsi="Arial" w:eastAsia="黑体"/>
      <w:b/>
      <w:sz w:val="32"/>
    </w:rPr>
  </w:style>
  <w:style w:type="paragraph" w:styleId="4">
    <w:name w:val="heading 3"/>
    <w:basedOn w:val="1"/>
    <w:next w:val="1"/>
    <w:link w:val="27"/>
    <w:qFormat/>
    <w:uiPriority w:val="9"/>
    <w:pPr>
      <w:keepNext/>
      <w:keepLines/>
      <w:spacing w:before="260" w:after="260" w:line="415" w:lineRule="auto"/>
      <w:outlineLvl w:val="2"/>
    </w:pPr>
    <w:rPr>
      <w:b/>
      <w:sz w:val="32"/>
    </w:rPr>
  </w:style>
  <w:style w:type="paragraph" w:styleId="5">
    <w:name w:val="heading 4"/>
    <w:basedOn w:val="1"/>
    <w:next w:val="1"/>
    <w:link w:val="17"/>
    <w:qFormat/>
    <w:uiPriority w:val="1"/>
    <w:pPr>
      <w:autoSpaceDE w:val="0"/>
      <w:autoSpaceDN w:val="0"/>
      <w:spacing w:before="97"/>
      <w:jc w:val="left"/>
      <w:outlineLvl w:val="3"/>
    </w:pPr>
    <w:rPr>
      <w:rFonts w:ascii="方正魏碑_GBK" w:hAnsi="方正魏碑_GBK" w:eastAsia="方正魏碑_GBK" w:cs="方正魏碑_GBK"/>
      <w:bCs w:val="0"/>
      <w:kern w:val="0"/>
      <w:sz w:val="26"/>
      <w:szCs w:val="26"/>
      <w:lang w:eastAsia="en-US"/>
    </w:rPr>
  </w:style>
  <w:style w:type="paragraph" w:styleId="6">
    <w:name w:val="heading 5"/>
    <w:basedOn w:val="1"/>
    <w:next w:val="1"/>
    <w:link w:val="18"/>
    <w:qFormat/>
    <w:uiPriority w:val="1"/>
    <w:pPr>
      <w:autoSpaceDE w:val="0"/>
      <w:autoSpaceDN w:val="0"/>
      <w:spacing w:before="269"/>
      <w:ind w:left="1859"/>
      <w:jc w:val="center"/>
      <w:outlineLvl w:val="4"/>
    </w:pPr>
    <w:rPr>
      <w:rFonts w:ascii="方正仿宋_GBK" w:hAnsi="方正仿宋_GBK" w:eastAsia="方正仿宋_GBK" w:cs="方正仿宋_GBK"/>
      <w:bCs w:val="0"/>
      <w:kern w:val="0"/>
      <w:sz w:val="24"/>
      <w:szCs w:val="24"/>
      <w:lang w:eastAsia="en-US"/>
    </w:rPr>
  </w:style>
  <w:style w:type="paragraph" w:styleId="7">
    <w:name w:val="heading 6"/>
    <w:basedOn w:val="1"/>
    <w:next w:val="1"/>
    <w:link w:val="19"/>
    <w:qFormat/>
    <w:uiPriority w:val="1"/>
    <w:pPr>
      <w:autoSpaceDE w:val="0"/>
      <w:autoSpaceDN w:val="0"/>
      <w:spacing w:before="38"/>
      <w:ind w:right="1181"/>
      <w:jc w:val="center"/>
      <w:outlineLvl w:val="5"/>
    </w:pPr>
    <w:rPr>
      <w:rFonts w:ascii="方正楷体_GBK" w:hAnsi="方正楷体_GBK" w:eastAsia="方正楷体_GBK" w:cs="方正楷体_GBK"/>
      <w:bCs w:val="0"/>
      <w:kern w:val="0"/>
      <w:sz w:val="22"/>
      <w:lang w:eastAsia="en-US"/>
    </w:rPr>
  </w:style>
  <w:style w:type="paragraph" w:styleId="8">
    <w:name w:val="heading 7"/>
    <w:basedOn w:val="1"/>
    <w:next w:val="1"/>
    <w:link w:val="20"/>
    <w:qFormat/>
    <w:uiPriority w:val="1"/>
    <w:pPr>
      <w:autoSpaceDE w:val="0"/>
      <w:autoSpaceDN w:val="0"/>
      <w:spacing w:before="82"/>
      <w:ind w:right="1082"/>
      <w:jc w:val="center"/>
      <w:outlineLvl w:val="6"/>
    </w:pPr>
    <w:rPr>
      <w:rFonts w:ascii="MS UI Gothic" w:hAnsi="MS UI Gothic" w:eastAsia="MS UI Gothic" w:cs="MS UI Gothic"/>
      <w:bCs w:val="0"/>
      <w:kern w:val="0"/>
      <w:sz w:val="20"/>
      <w:szCs w:val="20"/>
      <w:lang w:eastAsia="en-US"/>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9">
    <w:name w:val="Body Text"/>
    <w:basedOn w:val="1"/>
    <w:link w:val="22"/>
    <w:qFormat/>
    <w:uiPriority w:val="1"/>
    <w:pPr>
      <w:autoSpaceDE w:val="0"/>
      <w:autoSpaceDN w:val="0"/>
      <w:jc w:val="left"/>
    </w:pPr>
    <w:rPr>
      <w:rFonts w:ascii="方正书宋_GBK" w:hAnsi="方正书宋_GBK" w:eastAsia="方正书宋_GBK" w:cs="方正书宋_GBK"/>
      <w:bCs w:val="0"/>
      <w:kern w:val="0"/>
      <w:sz w:val="19"/>
      <w:szCs w:val="19"/>
      <w:lang w:eastAsia="en-US"/>
    </w:rPr>
  </w:style>
  <w:style w:type="paragraph" w:styleId="10">
    <w:name w:val="Balloon Text"/>
    <w:basedOn w:val="1"/>
    <w:link w:val="28"/>
    <w:semiHidden/>
    <w:unhideWhenUsed/>
    <w:qFormat/>
    <w:uiPriority w:val="99"/>
    <w:rPr>
      <w:rFonts w:ascii="等线" w:hAnsi="等线" w:eastAsia="等线"/>
      <w:bCs w:val="0"/>
      <w:sz w:val="18"/>
      <w:szCs w:val="18"/>
    </w:rPr>
  </w:style>
  <w:style w:type="paragraph" w:styleId="11">
    <w:name w:val="footer"/>
    <w:basedOn w:val="1"/>
    <w:link w:val="26"/>
    <w:unhideWhenUsed/>
    <w:qFormat/>
    <w:uiPriority w:val="99"/>
    <w:pPr>
      <w:tabs>
        <w:tab w:val="center" w:pos="4153"/>
        <w:tab w:val="right" w:pos="8306"/>
      </w:tabs>
      <w:autoSpaceDE w:val="0"/>
      <w:autoSpaceDN w:val="0"/>
      <w:snapToGrid w:val="0"/>
      <w:jc w:val="left"/>
    </w:pPr>
    <w:rPr>
      <w:rFonts w:ascii="方正书宋_GBK" w:hAnsi="方正书宋_GBK" w:eastAsia="方正书宋_GBK" w:cs="方正书宋_GBK"/>
      <w:bCs w:val="0"/>
      <w:kern w:val="0"/>
      <w:sz w:val="18"/>
      <w:szCs w:val="18"/>
      <w:lang w:eastAsia="en-US"/>
    </w:rPr>
  </w:style>
  <w:style w:type="paragraph" w:styleId="12">
    <w:name w:val="header"/>
    <w:basedOn w:val="1"/>
    <w:link w:val="25"/>
    <w:unhideWhenUsed/>
    <w:qFormat/>
    <w:uiPriority w:val="99"/>
    <w:pPr>
      <w:pBdr>
        <w:bottom w:val="single" w:color="auto" w:sz="6" w:space="1"/>
      </w:pBdr>
      <w:tabs>
        <w:tab w:val="center" w:pos="4153"/>
        <w:tab w:val="right" w:pos="8306"/>
      </w:tabs>
      <w:autoSpaceDE w:val="0"/>
      <w:autoSpaceDN w:val="0"/>
      <w:snapToGrid w:val="0"/>
      <w:jc w:val="center"/>
    </w:pPr>
    <w:rPr>
      <w:rFonts w:ascii="方正书宋_GBK" w:hAnsi="方正书宋_GBK" w:eastAsia="方正书宋_GBK" w:cs="方正书宋_GBK"/>
      <w:bCs w:val="0"/>
      <w:kern w:val="0"/>
      <w:sz w:val="18"/>
      <w:szCs w:val="18"/>
      <w:lang w:eastAsia="en-US"/>
    </w:rPr>
  </w:style>
  <w:style w:type="character" w:styleId="15">
    <w:name w:val="Hyperlink"/>
    <w:semiHidden/>
    <w:unhideWhenUsed/>
    <w:uiPriority w:val="99"/>
    <w:rPr>
      <w:color w:val="0000FF"/>
      <w:u w:val="single"/>
    </w:rPr>
  </w:style>
  <w:style w:type="paragraph" w:customStyle="1" w:styleId="16">
    <w:name w:val="样式1"/>
    <w:basedOn w:val="1"/>
    <w:qFormat/>
    <w:uiPriority w:val="0"/>
    <w:rPr>
      <w:b/>
      <w:color w:val="538135"/>
      <w:sz w:val="28"/>
    </w:rPr>
  </w:style>
  <w:style w:type="character" w:customStyle="1" w:styleId="17">
    <w:name w:val="标题 4 字符"/>
    <w:link w:val="5"/>
    <w:qFormat/>
    <w:uiPriority w:val="1"/>
    <w:rPr>
      <w:rFonts w:ascii="方正魏碑_GBK" w:hAnsi="方正魏碑_GBK" w:eastAsia="方正魏碑_GBK" w:cs="方正魏碑_GBK"/>
      <w:sz w:val="26"/>
      <w:szCs w:val="26"/>
      <w:lang w:eastAsia="en-US"/>
    </w:rPr>
  </w:style>
  <w:style w:type="character" w:customStyle="1" w:styleId="18">
    <w:name w:val="标题 5 字符"/>
    <w:link w:val="6"/>
    <w:qFormat/>
    <w:uiPriority w:val="1"/>
    <w:rPr>
      <w:rFonts w:ascii="方正仿宋_GBK" w:hAnsi="方正仿宋_GBK" w:eastAsia="方正仿宋_GBK" w:cs="方正仿宋_GBK"/>
      <w:sz w:val="24"/>
      <w:szCs w:val="24"/>
      <w:lang w:eastAsia="en-US"/>
    </w:rPr>
  </w:style>
  <w:style w:type="character" w:customStyle="1" w:styleId="19">
    <w:name w:val="标题 6 字符"/>
    <w:link w:val="7"/>
    <w:qFormat/>
    <w:uiPriority w:val="1"/>
    <w:rPr>
      <w:rFonts w:ascii="方正楷体_GBK" w:hAnsi="方正楷体_GBK" w:eastAsia="方正楷体_GBK" w:cs="方正楷体_GBK"/>
      <w:sz w:val="22"/>
      <w:szCs w:val="22"/>
      <w:lang w:eastAsia="en-US"/>
    </w:rPr>
  </w:style>
  <w:style w:type="character" w:customStyle="1" w:styleId="20">
    <w:name w:val="标题 7 字符"/>
    <w:link w:val="8"/>
    <w:qFormat/>
    <w:uiPriority w:val="1"/>
    <w:rPr>
      <w:rFonts w:ascii="MS UI Gothic" w:hAnsi="MS UI Gothic" w:eastAsia="MS UI Gothic" w:cs="MS UI Gothic"/>
      <w:lang w:eastAsia="en-US"/>
    </w:rPr>
  </w:style>
  <w:style w:type="table" w:customStyle="1" w:styleId="21">
    <w:name w:val="Table Normal"/>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22">
    <w:name w:val="正文文本 字符"/>
    <w:link w:val="9"/>
    <w:qFormat/>
    <w:uiPriority w:val="1"/>
    <w:rPr>
      <w:rFonts w:ascii="方正书宋_GBK" w:hAnsi="方正书宋_GBK" w:eastAsia="方正书宋_GBK" w:cs="方正书宋_GBK"/>
      <w:sz w:val="19"/>
      <w:szCs w:val="19"/>
      <w:lang w:eastAsia="en-US"/>
    </w:rPr>
  </w:style>
  <w:style w:type="paragraph" w:styleId="23">
    <w:name w:val="List Paragraph"/>
    <w:basedOn w:val="1"/>
    <w:qFormat/>
    <w:uiPriority w:val="1"/>
    <w:pPr>
      <w:autoSpaceDE w:val="0"/>
      <w:autoSpaceDN w:val="0"/>
      <w:jc w:val="left"/>
    </w:pPr>
    <w:rPr>
      <w:rFonts w:ascii="方正书宋_GBK" w:hAnsi="方正书宋_GBK" w:eastAsia="方正书宋_GBK" w:cs="方正书宋_GBK"/>
      <w:bCs w:val="0"/>
      <w:kern w:val="0"/>
      <w:sz w:val="22"/>
      <w:lang w:eastAsia="en-US"/>
    </w:rPr>
  </w:style>
  <w:style w:type="paragraph" w:customStyle="1" w:styleId="24">
    <w:name w:val="Table Paragraph"/>
    <w:basedOn w:val="1"/>
    <w:qFormat/>
    <w:uiPriority w:val="1"/>
    <w:pPr>
      <w:autoSpaceDE w:val="0"/>
      <w:autoSpaceDN w:val="0"/>
      <w:spacing w:before="2" w:line="301" w:lineRule="exact"/>
      <w:jc w:val="left"/>
    </w:pPr>
    <w:rPr>
      <w:rFonts w:ascii="方正书宋_GBK" w:hAnsi="方正书宋_GBK" w:eastAsia="方正书宋_GBK" w:cs="方正书宋_GBK"/>
      <w:bCs w:val="0"/>
      <w:kern w:val="0"/>
      <w:sz w:val="22"/>
      <w:lang w:eastAsia="en-US"/>
    </w:rPr>
  </w:style>
  <w:style w:type="character" w:customStyle="1" w:styleId="25">
    <w:name w:val="页眉 字符"/>
    <w:link w:val="12"/>
    <w:qFormat/>
    <w:uiPriority w:val="99"/>
    <w:rPr>
      <w:rFonts w:ascii="方正书宋_GBK" w:hAnsi="方正书宋_GBK" w:eastAsia="方正书宋_GBK" w:cs="方正书宋_GBK"/>
      <w:sz w:val="18"/>
      <w:szCs w:val="18"/>
      <w:lang w:eastAsia="en-US"/>
    </w:rPr>
  </w:style>
  <w:style w:type="character" w:customStyle="1" w:styleId="26">
    <w:name w:val="页脚 字符"/>
    <w:link w:val="11"/>
    <w:qFormat/>
    <w:uiPriority w:val="99"/>
    <w:rPr>
      <w:rFonts w:ascii="方正书宋_GBK" w:hAnsi="方正书宋_GBK" w:eastAsia="方正书宋_GBK" w:cs="方正书宋_GBK"/>
      <w:sz w:val="18"/>
      <w:szCs w:val="18"/>
      <w:lang w:eastAsia="en-US"/>
    </w:rPr>
  </w:style>
  <w:style w:type="character" w:customStyle="1" w:styleId="27">
    <w:name w:val="标题 3 字符"/>
    <w:link w:val="4"/>
    <w:qFormat/>
    <w:uiPriority w:val="9"/>
    <w:rPr>
      <w:rFonts w:ascii="Calibri" w:hAnsi="Calibri"/>
      <w:b/>
      <w:bCs/>
      <w:kern w:val="2"/>
      <w:sz w:val="32"/>
      <w:szCs w:val="22"/>
    </w:rPr>
  </w:style>
  <w:style w:type="character" w:customStyle="1" w:styleId="28">
    <w:name w:val="批注框文本 字符"/>
    <w:link w:val="10"/>
    <w:semiHidden/>
    <w:qFormat/>
    <w:uiPriority w:val="99"/>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1BD265-7CF9-43E5-9E2E-8C9E77C6293E}">
  <ds:schemaRefs/>
</ds:datastoreItem>
</file>

<file path=docProps/app.xml><?xml version="1.0" encoding="utf-8"?>
<Properties xmlns="http://schemas.openxmlformats.org/officeDocument/2006/extended-properties" xmlns:vt="http://schemas.openxmlformats.org/officeDocument/2006/docPropsVTypes">
  <Template>Normal</Template>
  <Company>Yozosoft</Company>
  <Pages>1</Pages>
  <Words>1134</Words>
  <Characters>6465</Characters>
  <Lines>53</Lines>
  <Paragraphs>15</Paragraphs>
  <TotalTime>58</TotalTime>
  <ScaleCrop>false</ScaleCrop>
  <LinksUpToDate>false</LinksUpToDate>
  <CharactersWithSpaces>7584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2020-04-21T07:34:00Z</dcterms:created>
  <dc:creator>User274</dc:creator>
  <cp:lastModifiedBy>杨亮</cp:lastModifiedBy>
  <dcterms:modified xsi:type="dcterms:W3CDTF">2021-08-03T01:48:24Z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519EDF7D73664F388C4A9CF0F1DB46B3</vt:lpwstr>
  </property>
</Properties>
</file>