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27" w:rsidRPr="00965784" w:rsidRDefault="00552E27" w:rsidP="007F7152">
      <w:pPr>
        <w:widowControl/>
        <w:jc w:val="center"/>
        <w:rPr>
          <w:rFonts w:ascii="微软雅黑" w:eastAsia="微软雅黑" w:hAnsi="微软雅黑" w:cs="宋体"/>
          <w:b/>
          <w:bCs/>
          <w:color w:val="040404"/>
          <w:kern w:val="0"/>
          <w:sz w:val="32"/>
          <w:szCs w:val="32"/>
        </w:rPr>
      </w:pPr>
      <w:r w:rsidRPr="00965784">
        <w:rPr>
          <w:rFonts w:ascii="微软雅黑" w:eastAsia="微软雅黑" w:hAnsi="微软雅黑" w:cs="宋体" w:hint="eastAsia"/>
          <w:b/>
          <w:bCs/>
          <w:color w:val="040404"/>
          <w:kern w:val="0"/>
          <w:sz w:val="32"/>
          <w:szCs w:val="32"/>
        </w:rPr>
        <w:t>浙江大学印发《浙江大学本科专业定期自查自评实施办法》的通知</w:t>
      </w:r>
    </w:p>
    <w:p w:rsidR="00552E27" w:rsidRPr="007F7152" w:rsidRDefault="00552E27" w:rsidP="007F7152">
      <w:pPr>
        <w:widowControl/>
        <w:jc w:val="center"/>
        <w:rPr>
          <w:rFonts w:ascii="微软雅黑" w:eastAsia="微软雅黑" w:hAnsi="微软雅黑" w:cs="宋体"/>
          <w:b/>
          <w:bCs/>
          <w:color w:val="040404"/>
          <w:kern w:val="0"/>
          <w:sz w:val="24"/>
          <w:szCs w:val="24"/>
        </w:rPr>
      </w:pPr>
      <w:r w:rsidRPr="007F7152">
        <w:rPr>
          <w:rFonts w:ascii="仿宋_GB2312" w:eastAsia="仿宋_GB2312" w:hAnsi="微软雅黑" w:cs="宋体" w:hint="eastAsia"/>
          <w:color w:val="040404"/>
          <w:kern w:val="0"/>
          <w:sz w:val="32"/>
          <w:szCs w:val="32"/>
          <w:bdr w:val="none" w:sz="0" w:space="0" w:color="auto" w:frame="1"/>
        </w:rPr>
        <w:t>浙大发本〔</w:t>
      </w:r>
      <w:r w:rsidRPr="007F7152">
        <w:rPr>
          <w:rFonts w:ascii="仿宋_GB2312" w:eastAsia="仿宋_GB2312" w:hAnsi="微软雅黑" w:cs="宋体"/>
          <w:color w:val="040404"/>
          <w:kern w:val="0"/>
          <w:sz w:val="32"/>
          <w:szCs w:val="32"/>
          <w:bdr w:val="none" w:sz="0" w:space="0" w:color="auto" w:frame="1"/>
        </w:rPr>
        <w:t>2017</w:t>
      </w:r>
      <w:r w:rsidRPr="007F7152">
        <w:rPr>
          <w:rFonts w:ascii="仿宋_GB2312" w:eastAsia="仿宋_GB2312" w:hAnsi="微软雅黑" w:cs="宋体" w:hint="eastAsia"/>
          <w:color w:val="040404"/>
          <w:kern w:val="0"/>
          <w:sz w:val="32"/>
          <w:szCs w:val="32"/>
          <w:bdr w:val="none" w:sz="0" w:space="0" w:color="auto" w:frame="1"/>
        </w:rPr>
        <w:t>〕</w:t>
      </w:r>
      <w:r w:rsidRPr="007F7152">
        <w:rPr>
          <w:rFonts w:ascii="仿宋_GB2312" w:eastAsia="仿宋_GB2312" w:hAnsi="微软雅黑" w:cs="宋体"/>
          <w:color w:val="040404"/>
          <w:kern w:val="0"/>
          <w:sz w:val="32"/>
          <w:szCs w:val="32"/>
          <w:bdr w:val="none" w:sz="0" w:space="0" w:color="auto" w:frame="1"/>
        </w:rPr>
        <w:t>15</w:t>
      </w:r>
      <w:r w:rsidRPr="007F7152">
        <w:rPr>
          <w:rFonts w:ascii="仿宋_GB2312" w:eastAsia="仿宋_GB2312" w:hAnsi="微软雅黑" w:cs="宋体" w:hint="eastAsia"/>
          <w:color w:val="040404"/>
          <w:kern w:val="0"/>
          <w:sz w:val="32"/>
          <w:szCs w:val="32"/>
          <w:bdr w:val="none" w:sz="0" w:space="0" w:color="auto" w:frame="1"/>
        </w:rPr>
        <w:t>号</w:t>
      </w:r>
    </w:p>
    <w:p w:rsidR="00552E27" w:rsidRDefault="00552E27">
      <w:pPr>
        <w:widowControl/>
        <w:jc w:val="left"/>
      </w:pPr>
    </w:p>
    <w:p w:rsidR="00552E27" w:rsidRDefault="00552E27">
      <w:pPr>
        <w:widowControl/>
        <w:jc w:val="left"/>
      </w:pPr>
    </w:p>
    <w:p w:rsidR="00552E27" w:rsidRPr="00B67F47" w:rsidRDefault="00552E27">
      <w:pPr>
        <w:widowControl/>
        <w:jc w:val="left"/>
      </w:pPr>
    </w:p>
    <w:p w:rsidR="00552E27" w:rsidRPr="007F7152" w:rsidRDefault="00552E27" w:rsidP="007F7152">
      <w:pPr>
        <w:widowControl/>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hint="eastAsia"/>
          <w:color w:val="040404"/>
          <w:kern w:val="0"/>
          <w:sz w:val="32"/>
          <w:szCs w:val="32"/>
          <w:bdr w:val="none" w:sz="0" w:space="0" w:color="auto" w:frame="1"/>
        </w:rPr>
        <w:t>各学院（系），行政各部门，各校区管委会，直属各单位：</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hint="eastAsia"/>
          <w:color w:val="040404"/>
          <w:kern w:val="0"/>
          <w:sz w:val="32"/>
          <w:szCs w:val="32"/>
          <w:bdr w:val="none" w:sz="0" w:space="0" w:color="auto" w:frame="1"/>
        </w:rPr>
        <w:t>经学校研究，现将《浙江大学本科专业定期自查自评实施办法》印发给你们，请遵照执行。</w:t>
      </w:r>
    </w:p>
    <w:p w:rsidR="00552E27" w:rsidRDefault="00552E27" w:rsidP="007F7152">
      <w:pPr>
        <w:widowControl/>
        <w:jc w:val="right"/>
        <w:rPr>
          <w:rFonts w:ascii="仿宋_GB2312" w:eastAsia="仿宋_GB2312" w:hAnsi="微软雅黑" w:cs="宋体"/>
          <w:color w:val="040404"/>
          <w:kern w:val="0"/>
          <w:sz w:val="32"/>
          <w:szCs w:val="32"/>
          <w:bdr w:val="none" w:sz="0" w:space="0" w:color="auto" w:frame="1"/>
        </w:rPr>
      </w:pPr>
    </w:p>
    <w:p w:rsidR="00552E27" w:rsidRPr="007F7152" w:rsidRDefault="00552E27" w:rsidP="007F7152">
      <w:pPr>
        <w:widowControl/>
        <w:ind w:right="640"/>
        <w:jc w:val="righ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hint="eastAsia"/>
          <w:color w:val="040404"/>
          <w:kern w:val="0"/>
          <w:sz w:val="32"/>
          <w:szCs w:val="32"/>
          <w:bdr w:val="none" w:sz="0" w:space="0" w:color="auto" w:frame="1"/>
        </w:rPr>
        <w:t>浙江大学</w:t>
      </w:r>
    </w:p>
    <w:p w:rsidR="00552E27" w:rsidRPr="007F7152" w:rsidRDefault="00552E27" w:rsidP="007F7152">
      <w:pPr>
        <w:widowControl/>
        <w:jc w:val="righ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color w:val="040404"/>
          <w:kern w:val="0"/>
          <w:sz w:val="32"/>
          <w:szCs w:val="32"/>
          <w:bdr w:val="none" w:sz="0" w:space="0" w:color="auto" w:frame="1"/>
        </w:rPr>
        <w:t>2017</w:t>
      </w:r>
      <w:r w:rsidRPr="007F7152">
        <w:rPr>
          <w:rFonts w:ascii="仿宋_GB2312" w:eastAsia="仿宋_GB2312" w:hAnsi="微软雅黑" w:cs="宋体" w:hint="eastAsia"/>
          <w:color w:val="040404"/>
          <w:kern w:val="0"/>
          <w:sz w:val="32"/>
          <w:szCs w:val="32"/>
          <w:bdr w:val="none" w:sz="0" w:space="0" w:color="auto" w:frame="1"/>
        </w:rPr>
        <w:t>年</w:t>
      </w:r>
      <w:r w:rsidRPr="007F7152">
        <w:rPr>
          <w:rFonts w:ascii="仿宋_GB2312" w:eastAsia="仿宋_GB2312" w:hAnsi="微软雅黑" w:cs="宋体"/>
          <w:color w:val="040404"/>
          <w:kern w:val="0"/>
          <w:sz w:val="32"/>
          <w:szCs w:val="32"/>
          <w:bdr w:val="none" w:sz="0" w:space="0" w:color="auto" w:frame="1"/>
        </w:rPr>
        <w:t>1</w:t>
      </w:r>
      <w:r w:rsidRPr="007F7152">
        <w:rPr>
          <w:rFonts w:ascii="仿宋_GB2312" w:eastAsia="仿宋_GB2312" w:hAnsi="微软雅黑" w:cs="宋体" w:hint="eastAsia"/>
          <w:color w:val="040404"/>
          <w:kern w:val="0"/>
          <w:sz w:val="32"/>
          <w:szCs w:val="32"/>
          <w:bdr w:val="none" w:sz="0" w:space="0" w:color="auto" w:frame="1"/>
        </w:rPr>
        <w:t>月</w:t>
      </w:r>
      <w:r w:rsidRPr="007F7152">
        <w:rPr>
          <w:rFonts w:ascii="仿宋_GB2312" w:eastAsia="仿宋_GB2312" w:hAnsi="微软雅黑" w:cs="宋体"/>
          <w:color w:val="040404"/>
          <w:kern w:val="0"/>
          <w:sz w:val="32"/>
          <w:szCs w:val="32"/>
          <w:bdr w:val="none" w:sz="0" w:space="0" w:color="auto" w:frame="1"/>
        </w:rPr>
        <w:t>24</w:t>
      </w:r>
      <w:r w:rsidRPr="007F7152">
        <w:rPr>
          <w:rFonts w:ascii="仿宋_GB2312" w:eastAsia="仿宋_GB2312" w:hAnsi="微软雅黑" w:cs="宋体" w:hint="eastAsia"/>
          <w:color w:val="040404"/>
          <w:kern w:val="0"/>
          <w:sz w:val="32"/>
          <w:szCs w:val="32"/>
          <w:bdr w:val="none" w:sz="0" w:space="0" w:color="auto" w:frame="1"/>
        </w:rPr>
        <w:t>日</w:t>
      </w:r>
    </w:p>
    <w:p w:rsidR="00552E27" w:rsidRDefault="00552E27">
      <w:pPr>
        <w:widowControl/>
        <w:jc w:val="left"/>
        <w:rPr>
          <w:rFonts w:ascii="黑体" w:eastAsia="黑体" w:hAnsi="黑体"/>
          <w:sz w:val="32"/>
          <w:szCs w:val="32"/>
        </w:rPr>
      </w:pPr>
      <w:r>
        <w:rPr>
          <w:rFonts w:ascii="黑体" w:eastAsia="黑体" w:hAnsi="黑体"/>
          <w:sz w:val="32"/>
          <w:szCs w:val="32"/>
        </w:rPr>
        <w:br w:type="page"/>
      </w:r>
    </w:p>
    <w:p w:rsidR="00552E27" w:rsidRPr="007F7152" w:rsidRDefault="00552E27" w:rsidP="007F7152">
      <w:pPr>
        <w:widowControl/>
        <w:jc w:val="center"/>
        <w:rPr>
          <w:rFonts w:ascii="黑体" w:eastAsia="黑体" w:hAnsi="黑体"/>
          <w:sz w:val="32"/>
          <w:szCs w:val="32"/>
        </w:rPr>
      </w:pPr>
      <w:r w:rsidRPr="007F7152">
        <w:rPr>
          <w:rFonts w:ascii="方正小标宋简体" w:eastAsia="方正小标宋简体" w:hAnsi="微软雅黑" w:cs="宋体" w:hint="eastAsia"/>
          <w:color w:val="040404"/>
          <w:kern w:val="0"/>
          <w:sz w:val="44"/>
          <w:szCs w:val="44"/>
          <w:bdr w:val="none" w:sz="0" w:space="0" w:color="auto" w:frame="1"/>
        </w:rPr>
        <w:t>浙江大学本科专业定期自查自评实施办法</w:t>
      </w:r>
    </w:p>
    <w:p w:rsidR="00552E27" w:rsidRPr="007F7152" w:rsidRDefault="00552E27" w:rsidP="007F7152">
      <w:pPr>
        <w:widowControl/>
        <w:jc w:val="left"/>
        <w:rPr>
          <w:rFonts w:ascii="黑体" w:eastAsia="黑体" w:hAnsi="黑体"/>
          <w:sz w:val="32"/>
          <w:szCs w:val="32"/>
        </w:rPr>
      </w:pP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第一条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为进一步提升学校本科教育教学质量，建立健全“以学生为中心、以成效为导向”的本科专业教育教学体系，完善学校内部教学质量保障机制，促进学院（系）加强专业内涵建设与改革，特制订本办法。</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第二条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各学院（系）对于纳入学校招生且已有三届及以上毕业生的本科专业须按照本办法开展专业自查自评工作。</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9C41A1">
        <w:rPr>
          <w:rFonts w:ascii="黑体" w:eastAsia="黑体" w:hAnsi="黑体" w:hint="eastAsia"/>
          <w:sz w:val="32"/>
          <w:szCs w:val="32"/>
        </w:rPr>
        <w:t>第三条</w:t>
      </w:r>
      <w:r w:rsidRPr="007F7152">
        <w:rPr>
          <w:rFonts w:ascii="仿宋_GB2312" w:eastAsia="仿宋_GB2312" w:hAnsi="微软雅黑" w:cs="宋体"/>
          <w:color w:val="040404"/>
          <w:kern w:val="0"/>
          <w:sz w:val="32"/>
          <w:szCs w:val="32"/>
          <w:bdr w:val="none" w:sz="0" w:space="0" w:color="auto" w:frame="1"/>
        </w:rPr>
        <w:t xml:space="preserve">  </w:t>
      </w:r>
      <w:r w:rsidRPr="007F7152">
        <w:rPr>
          <w:rFonts w:ascii="仿宋_GB2312" w:eastAsia="仿宋_GB2312" w:hAnsi="微软雅黑" w:cs="宋体" w:hint="eastAsia"/>
          <w:color w:val="040404"/>
          <w:kern w:val="0"/>
          <w:sz w:val="32"/>
          <w:szCs w:val="32"/>
          <w:bdr w:val="none" w:sz="0" w:space="0" w:color="auto" w:frame="1"/>
        </w:rPr>
        <w:t>学校鼓励学院（系）参加认可度较高的国际、国内专业认证或评估，已参加国际、国内认证或评估的专业，在认证有效期内，可不按本办法进行自查自评。</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第四条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专业自查自评应坚持以下原则：</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color w:val="040404"/>
          <w:kern w:val="0"/>
          <w:sz w:val="32"/>
          <w:szCs w:val="32"/>
          <w:bdr w:val="none" w:sz="0" w:space="0" w:color="auto" w:frame="1"/>
        </w:rPr>
        <w:t>1</w:t>
      </w:r>
      <w:r w:rsidRPr="007F7152">
        <w:rPr>
          <w:rFonts w:ascii="仿宋_GB2312" w:eastAsia="仿宋_GB2312" w:hAnsi="微软雅黑" w:cs="宋体" w:hint="eastAsia"/>
          <w:color w:val="040404"/>
          <w:kern w:val="0"/>
          <w:sz w:val="32"/>
          <w:szCs w:val="32"/>
          <w:bdr w:val="none" w:sz="0" w:space="0" w:color="auto" w:frame="1"/>
        </w:rPr>
        <w:t>．主体性原则。学院（系）是专业建设和质量保证的主体，专业自查自评以学院（系）自查自评为基础。</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color w:val="040404"/>
          <w:kern w:val="0"/>
          <w:sz w:val="32"/>
          <w:szCs w:val="32"/>
          <w:bdr w:val="none" w:sz="0" w:space="0" w:color="auto" w:frame="1"/>
        </w:rPr>
        <w:t>2</w:t>
      </w:r>
      <w:r w:rsidRPr="007F7152">
        <w:rPr>
          <w:rFonts w:ascii="仿宋_GB2312" w:eastAsia="仿宋_GB2312" w:hAnsi="微软雅黑" w:cs="宋体" w:hint="eastAsia"/>
          <w:color w:val="040404"/>
          <w:kern w:val="0"/>
          <w:sz w:val="32"/>
          <w:szCs w:val="32"/>
          <w:bdr w:val="none" w:sz="0" w:space="0" w:color="auto" w:frame="1"/>
        </w:rPr>
        <w:t>．发展性原则。学院（系）根据国家社会经济发展需求和发展趋势开展专业建设和人才培养工作，并通过专业定期自查自评建立持续改进的质量保障机制，实现专业建设和人才培养可持续发展。</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color w:val="040404"/>
          <w:kern w:val="0"/>
          <w:sz w:val="32"/>
          <w:szCs w:val="32"/>
          <w:bdr w:val="none" w:sz="0" w:space="0" w:color="auto" w:frame="1"/>
        </w:rPr>
        <w:t>3</w:t>
      </w:r>
      <w:r w:rsidRPr="007F7152">
        <w:rPr>
          <w:rFonts w:ascii="仿宋_GB2312" w:eastAsia="仿宋_GB2312" w:hAnsi="微软雅黑" w:cs="宋体" w:hint="eastAsia"/>
          <w:color w:val="040404"/>
          <w:kern w:val="0"/>
          <w:sz w:val="32"/>
          <w:szCs w:val="32"/>
          <w:bdr w:val="none" w:sz="0" w:space="0" w:color="auto" w:frame="1"/>
        </w:rPr>
        <w:t>．实证性原则。专业自查自评的相关结论以数据和事实为依据。</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仿宋_GB2312" w:eastAsia="仿宋_GB2312" w:hAnsi="微软雅黑" w:cs="宋体"/>
          <w:color w:val="040404"/>
          <w:kern w:val="0"/>
          <w:sz w:val="32"/>
          <w:szCs w:val="32"/>
          <w:bdr w:val="none" w:sz="0" w:space="0" w:color="auto" w:frame="1"/>
        </w:rPr>
        <w:t>4</w:t>
      </w:r>
      <w:r w:rsidRPr="007F7152">
        <w:rPr>
          <w:rFonts w:ascii="仿宋_GB2312" w:eastAsia="仿宋_GB2312" w:hAnsi="微软雅黑" w:cs="宋体" w:hint="eastAsia"/>
          <w:color w:val="040404"/>
          <w:kern w:val="0"/>
          <w:sz w:val="32"/>
          <w:szCs w:val="32"/>
          <w:bdr w:val="none" w:sz="0" w:space="0" w:color="auto" w:frame="1"/>
        </w:rPr>
        <w:t>．协同性原则。专业所在的学院（系）要与相关企业、科研院所、行业部门建立协同育人的机制。</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第五条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专业自查自评一般以六年为一周期。</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第六条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专业自查自评内容包括培养目标、毕业要求、课程体系、师资队伍、教学条件、质量保障、学生发展、专业特色等八个方面，具体内容详见本科专业自查自评参照指标（附件）。</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第七条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专业自查自评程序包括确定自查自评时间、收集自查自评材料、撰写专业自查自评报告以及安排专家现场考查并反馈考查结论等。</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第八条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专业自查自评须成立自查自评专家组，专家组至少由</w:t>
      </w:r>
      <w:r w:rsidRPr="007F7152">
        <w:rPr>
          <w:rFonts w:ascii="仿宋_GB2312" w:eastAsia="仿宋_GB2312" w:hAnsi="微软雅黑" w:cs="宋体"/>
          <w:color w:val="040404"/>
          <w:kern w:val="0"/>
          <w:sz w:val="32"/>
          <w:szCs w:val="32"/>
          <w:bdr w:val="none" w:sz="0" w:space="0" w:color="auto" w:frame="1"/>
        </w:rPr>
        <w:t>5</w:t>
      </w:r>
      <w:r w:rsidRPr="007F7152">
        <w:rPr>
          <w:rFonts w:ascii="仿宋_GB2312" w:eastAsia="仿宋_GB2312" w:hAnsi="微软雅黑" w:cs="宋体" w:hint="eastAsia"/>
          <w:color w:val="040404"/>
          <w:kern w:val="0"/>
          <w:sz w:val="32"/>
          <w:szCs w:val="32"/>
          <w:bdr w:val="none" w:sz="0" w:space="0" w:color="auto" w:frame="1"/>
        </w:rPr>
        <w:t>人组成，其中校外专家一般不少于</w:t>
      </w:r>
      <w:r w:rsidRPr="007F7152">
        <w:rPr>
          <w:rFonts w:ascii="仿宋_GB2312" w:eastAsia="仿宋_GB2312" w:hAnsi="微软雅黑" w:cs="宋体"/>
          <w:color w:val="040404"/>
          <w:kern w:val="0"/>
          <w:sz w:val="32"/>
          <w:szCs w:val="32"/>
          <w:bdr w:val="none" w:sz="0" w:space="0" w:color="auto" w:frame="1"/>
        </w:rPr>
        <w:t>2</w:t>
      </w:r>
      <w:r w:rsidRPr="007F7152">
        <w:rPr>
          <w:rFonts w:ascii="仿宋_GB2312" w:eastAsia="仿宋_GB2312" w:hAnsi="微软雅黑" w:cs="宋体" w:hint="eastAsia"/>
          <w:color w:val="040404"/>
          <w:kern w:val="0"/>
          <w:sz w:val="32"/>
          <w:szCs w:val="32"/>
          <w:bdr w:val="none" w:sz="0" w:space="0" w:color="auto" w:frame="1"/>
        </w:rPr>
        <w:t>人。校外专家应由国内外同学科（行业）专家担任，由专业所在学院（系）聘请；校内专家应由学校相近学科教授、教学督导组成员或教学相关职能部门负责人担任，由本科生院负责安排。</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第九条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专家现场考查一般安排</w:t>
      </w:r>
      <w:r w:rsidRPr="007F7152">
        <w:rPr>
          <w:rFonts w:ascii="仿宋_GB2312" w:eastAsia="仿宋_GB2312" w:hAnsi="微软雅黑" w:cs="宋体"/>
          <w:color w:val="040404"/>
          <w:kern w:val="0"/>
          <w:sz w:val="32"/>
          <w:szCs w:val="32"/>
          <w:bdr w:val="none" w:sz="0" w:space="0" w:color="auto" w:frame="1"/>
        </w:rPr>
        <w:t>2</w:t>
      </w:r>
      <w:r w:rsidRPr="007F7152">
        <w:rPr>
          <w:rFonts w:ascii="仿宋_GB2312" w:eastAsia="仿宋_GB2312" w:hAnsi="微软雅黑" w:cs="宋体" w:hint="eastAsia"/>
          <w:color w:val="040404"/>
          <w:kern w:val="0"/>
          <w:sz w:val="32"/>
          <w:szCs w:val="32"/>
          <w:bdr w:val="none" w:sz="0" w:space="0" w:color="auto" w:frame="1"/>
        </w:rPr>
        <w:t>天，考查内容包括听取汇报、调阅相关教学资料、召开师生座谈会、考查教学设施、观摩课堂教学等环节。</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第十条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专业所在学院（系）需提前一周向专家提供专业自查自评报告及相关佐证材料，以便专家事先了解专业建设和运行基本情况，更有针对性地进行现场考查。</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第十一条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专家组通过审阅专业自查自评报告和现场考查，对专业建设情况做出客观评价，形成专家（组）评价意见。专家（组）评价意见内容应包括专业建设总体评价、存在的问题及不足以及改进意见与建议等。</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第十二条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专业所在学院（系）须根据专家（组）所提的意见和建议及专业自查自评中所发现的问题，制订改进计划。</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第十三条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专业所在学院（系）需于专家组现场考查结束后一个月内向学校提交专业自查自评相关资料，包括专业自查自评报告、专家（组）评价意见和学院（系）改进计划。</w:t>
      </w:r>
    </w:p>
    <w:p w:rsidR="00552E27" w:rsidRPr="007F7152" w:rsidRDefault="00552E27" w:rsidP="00C3497F">
      <w:pPr>
        <w:widowControl/>
        <w:ind w:firstLineChars="200" w:firstLine="31680"/>
        <w:jc w:val="left"/>
        <w:rPr>
          <w:rFonts w:ascii="仿宋_GB2312" w:eastAsia="仿宋_GB2312" w:hAnsi="微软雅黑" w:cs="宋体"/>
          <w:color w:val="040404"/>
          <w:kern w:val="0"/>
          <w:sz w:val="32"/>
          <w:szCs w:val="32"/>
          <w:bdr w:val="none" w:sz="0" w:space="0" w:color="auto" w:frame="1"/>
        </w:rPr>
      </w:pPr>
      <w:r w:rsidRPr="007F7152">
        <w:rPr>
          <w:rFonts w:ascii="黑体" w:eastAsia="黑体" w:hAnsi="黑体" w:hint="eastAsia"/>
          <w:sz w:val="32"/>
          <w:szCs w:val="32"/>
        </w:rPr>
        <w:t>第十四条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专业定期自查自评情况、改进计划落实情况纳入学院（系）本科教学工作考评。</w:t>
      </w:r>
    </w:p>
    <w:p w:rsidR="00552E27" w:rsidRPr="007F7152"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第十五条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学校对学院（系）专业自查自评或参加国际、国内专业认证（评估）给予相应经费支持。</w:t>
      </w:r>
    </w:p>
    <w:p w:rsidR="00552E27" w:rsidRDefault="00552E27" w:rsidP="00C3497F">
      <w:pPr>
        <w:widowControl/>
        <w:ind w:firstLineChars="200" w:firstLine="31680"/>
        <w:jc w:val="left"/>
        <w:rPr>
          <w:rFonts w:ascii="黑体" w:eastAsia="黑体" w:hAnsi="黑体"/>
          <w:sz w:val="32"/>
          <w:szCs w:val="32"/>
        </w:rPr>
      </w:pPr>
      <w:r w:rsidRPr="007F7152">
        <w:rPr>
          <w:rFonts w:ascii="黑体" w:eastAsia="黑体" w:hAnsi="黑体" w:hint="eastAsia"/>
          <w:sz w:val="32"/>
          <w:szCs w:val="32"/>
        </w:rPr>
        <w:t>第十六条</w:t>
      </w:r>
      <w:r w:rsidRPr="007F7152">
        <w:rPr>
          <w:rFonts w:ascii="黑体" w:eastAsia="黑体" w:hAnsi="黑体"/>
          <w:sz w:val="32"/>
          <w:szCs w:val="32"/>
        </w:rPr>
        <w:t xml:space="preserve">  </w:t>
      </w:r>
      <w:r w:rsidRPr="007F7152">
        <w:rPr>
          <w:rFonts w:ascii="仿宋_GB2312" w:eastAsia="仿宋_GB2312" w:hAnsi="微软雅黑" w:cs="宋体" w:hint="eastAsia"/>
          <w:color w:val="040404"/>
          <w:kern w:val="0"/>
          <w:sz w:val="32"/>
          <w:szCs w:val="32"/>
          <w:bdr w:val="none" w:sz="0" w:space="0" w:color="auto" w:frame="1"/>
        </w:rPr>
        <w:t>本办法自印发之日起实施，由本科生院负责解释。</w:t>
      </w:r>
      <w:bookmarkStart w:id="0" w:name="_GoBack"/>
      <w:bookmarkEnd w:id="0"/>
    </w:p>
    <w:p w:rsidR="00552E27" w:rsidRDefault="00552E27">
      <w:pPr>
        <w:widowControl/>
        <w:jc w:val="left"/>
        <w:rPr>
          <w:rFonts w:ascii="黑体" w:eastAsia="黑体" w:hAnsi="黑体"/>
          <w:sz w:val="32"/>
          <w:szCs w:val="32"/>
        </w:rPr>
      </w:pPr>
      <w:r>
        <w:rPr>
          <w:rFonts w:ascii="黑体" w:eastAsia="黑体" w:hAnsi="黑体"/>
          <w:sz w:val="32"/>
          <w:szCs w:val="32"/>
        </w:rPr>
        <w:br w:type="page"/>
      </w:r>
    </w:p>
    <w:p w:rsidR="00552E27" w:rsidRPr="00321D24" w:rsidRDefault="00552E27" w:rsidP="00321D24">
      <w:pPr>
        <w:spacing w:line="700" w:lineRule="exact"/>
        <w:jc w:val="left"/>
        <w:rPr>
          <w:rFonts w:ascii="黑体" w:eastAsia="黑体" w:hAnsi="黑体"/>
          <w:sz w:val="32"/>
          <w:szCs w:val="32"/>
        </w:rPr>
      </w:pPr>
      <w:r w:rsidRPr="00321D24">
        <w:rPr>
          <w:rFonts w:ascii="黑体" w:eastAsia="黑体" w:hAnsi="黑体" w:hint="eastAsia"/>
          <w:sz w:val="32"/>
          <w:szCs w:val="32"/>
        </w:rPr>
        <w:t>附件</w:t>
      </w:r>
    </w:p>
    <w:p w:rsidR="00552E27" w:rsidRPr="00321D24" w:rsidRDefault="00552E27" w:rsidP="00321D24">
      <w:pPr>
        <w:spacing w:line="700" w:lineRule="exact"/>
        <w:jc w:val="center"/>
        <w:rPr>
          <w:rFonts w:ascii="方正小标宋简体" w:eastAsia="方正小标宋简体" w:hAnsi="宋体"/>
          <w:sz w:val="44"/>
          <w:szCs w:val="44"/>
        </w:rPr>
      </w:pPr>
      <w:r w:rsidRPr="00321D24">
        <w:rPr>
          <w:rFonts w:ascii="方正小标宋简体" w:eastAsia="方正小标宋简体" w:hAnsi="宋体" w:hint="eastAsia"/>
          <w:sz w:val="44"/>
          <w:szCs w:val="44"/>
        </w:rPr>
        <w:t>浙江大学本科专业自查自评参照指标</w:t>
      </w:r>
    </w:p>
    <w:p w:rsidR="00552E27" w:rsidRPr="00321D24" w:rsidRDefault="00552E27" w:rsidP="00321D24">
      <w:pPr>
        <w:spacing w:line="500" w:lineRule="exact"/>
        <w:rPr>
          <w:rFonts w:ascii="仿宋_GB2312" w:eastAsia="仿宋_GB2312"/>
        </w:rPr>
      </w:pPr>
    </w:p>
    <w:tbl>
      <w:tblPr>
        <w:tblW w:w="8377" w:type="dxa"/>
        <w:tblInd w:w="95" w:type="dxa"/>
        <w:tblLook w:val="00A0"/>
      </w:tblPr>
      <w:tblGrid>
        <w:gridCol w:w="722"/>
        <w:gridCol w:w="1378"/>
        <w:gridCol w:w="6277"/>
      </w:tblGrid>
      <w:tr w:rsidR="00552E27" w:rsidRPr="00763A12" w:rsidTr="003B4219">
        <w:trPr>
          <w:trHeight w:val="631"/>
        </w:trPr>
        <w:tc>
          <w:tcPr>
            <w:tcW w:w="722" w:type="dxa"/>
            <w:tcBorders>
              <w:top w:val="single" w:sz="4" w:space="0" w:color="auto"/>
              <w:left w:val="single" w:sz="4" w:space="0" w:color="auto"/>
              <w:bottom w:val="single" w:sz="4" w:space="0" w:color="auto"/>
              <w:right w:val="single" w:sz="4" w:space="0" w:color="auto"/>
            </w:tcBorders>
            <w:vAlign w:val="center"/>
          </w:tcPr>
          <w:p w:rsidR="00552E27" w:rsidRPr="00321D24" w:rsidRDefault="00552E27" w:rsidP="00321D24">
            <w:pPr>
              <w:spacing w:line="320" w:lineRule="exact"/>
              <w:jc w:val="center"/>
              <w:rPr>
                <w:rFonts w:ascii="黑体" w:eastAsia="黑体" w:hAnsi="黑体" w:cs="宋体"/>
                <w:sz w:val="24"/>
                <w:szCs w:val="24"/>
              </w:rPr>
            </w:pPr>
            <w:r w:rsidRPr="00321D24">
              <w:rPr>
                <w:rFonts w:ascii="黑体" w:eastAsia="黑体" w:hAnsi="黑体" w:cs="宋体" w:hint="eastAsia"/>
                <w:sz w:val="24"/>
                <w:szCs w:val="24"/>
              </w:rPr>
              <w:t>项目</w:t>
            </w:r>
          </w:p>
        </w:tc>
        <w:tc>
          <w:tcPr>
            <w:tcW w:w="1378" w:type="dxa"/>
            <w:tcBorders>
              <w:top w:val="single" w:sz="4" w:space="0" w:color="auto"/>
              <w:left w:val="nil"/>
              <w:bottom w:val="single" w:sz="4" w:space="0" w:color="auto"/>
              <w:right w:val="single" w:sz="4" w:space="0" w:color="auto"/>
            </w:tcBorders>
            <w:vAlign w:val="center"/>
          </w:tcPr>
          <w:p w:rsidR="00552E27" w:rsidRPr="00321D24" w:rsidRDefault="00552E27" w:rsidP="00321D24">
            <w:pPr>
              <w:spacing w:line="320" w:lineRule="exact"/>
              <w:jc w:val="center"/>
              <w:rPr>
                <w:rFonts w:ascii="黑体" w:eastAsia="黑体" w:hAnsi="黑体" w:cs="宋体"/>
                <w:sz w:val="24"/>
                <w:szCs w:val="24"/>
              </w:rPr>
            </w:pPr>
            <w:r w:rsidRPr="00321D24">
              <w:rPr>
                <w:rFonts w:ascii="黑体" w:eastAsia="黑体" w:hAnsi="黑体" w:cs="宋体" w:hint="eastAsia"/>
                <w:sz w:val="24"/>
                <w:szCs w:val="24"/>
              </w:rPr>
              <w:t>要素</w:t>
            </w:r>
          </w:p>
        </w:tc>
        <w:tc>
          <w:tcPr>
            <w:tcW w:w="6277" w:type="dxa"/>
            <w:tcBorders>
              <w:top w:val="single" w:sz="4" w:space="0" w:color="auto"/>
              <w:left w:val="nil"/>
              <w:bottom w:val="single" w:sz="4" w:space="0" w:color="auto"/>
              <w:right w:val="single" w:sz="4" w:space="0" w:color="auto"/>
            </w:tcBorders>
            <w:vAlign w:val="center"/>
          </w:tcPr>
          <w:p w:rsidR="00552E27" w:rsidRPr="00321D24" w:rsidRDefault="00552E27" w:rsidP="00321D24">
            <w:pPr>
              <w:spacing w:line="320" w:lineRule="exact"/>
              <w:jc w:val="center"/>
              <w:rPr>
                <w:rFonts w:ascii="黑体" w:eastAsia="黑体" w:hAnsi="黑体" w:cs="宋体"/>
                <w:color w:val="000000"/>
                <w:sz w:val="24"/>
                <w:szCs w:val="24"/>
              </w:rPr>
            </w:pPr>
            <w:r w:rsidRPr="00321D24">
              <w:rPr>
                <w:rFonts w:ascii="黑体" w:eastAsia="黑体" w:hAnsi="黑体" w:cs="宋体" w:hint="eastAsia"/>
                <w:color w:val="000000"/>
                <w:sz w:val="24"/>
                <w:szCs w:val="24"/>
              </w:rPr>
              <w:t>基本要求</w:t>
            </w:r>
          </w:p>
        </w:tc>
      </w:tr>
      <w:tr w:rsidR="00552E27" w:rsidRPr="00763A12" w:rsidTr="003B4219">
        <w:trPr>
          <w:trHeight w:val="722"/>
        </w:trPr>
        <w:tc>
          <w:tcPr>
            <w:tcW w:w="722" w:type="dxa"/>
            <w:vMerge w:val="restart"/>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培养目标</w:t>
            </w:r>
          </w:p>
        </w:tc>
        <w:tc>
          <w:tcPr>
            <w:tcW w:w="1378" w:type="dxa"/>
            <w:tcBorders>
              <w:top w:val="nil"/>
              <w:left w:val="nil"/>
              <w:bottom w:val="single" w:sz="4" w:space="0" w:color="auto"/>
              <w:right w:val="single" w:sz="4" w:space="0" w:color="auto"/>
            </w:tcBorders>
            <w:noWrap/>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目标定位</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培养目标立足学科专业发展前沿，符合学校定位，适应社会需求，反映国家重大发展战略要求，体现前瞻性、引领性。</w:t>
            </w:r>
          </w:p>
        </w:tc>
      </w:tr>
      <w:tr w:rsidR="00552E27" w:rsidRPr="00763A12" w:rsidTr="003B4219">
        <w:trPr>
          <w:trHeight w:val="645"/>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noWrap/>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内容描述</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培养目标反映专业特色和毕业生发展预期，表述明确、清晰，符合专业发展定位。</w:t>
            </w:r>
          </w:p>
        </w:tc>
      </w:tr>
      <w:tr w:rsidR="00552E27" w:rsidRPr="00763A12" w:rsidTr="003B4219">
        <w:trPr>
          <w:trHeight w:val="740"/>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合理性评估</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定期评价培养目标的合理性，并根据评价结果进行修订。</w:t>
            </w:r>
          </w:p>
        </w:tc>
      </w:tr>
      <w:tr w:rsidR="00552E27" w:rsidRPr="00763A12" w:rsidTr="003B4219">
        <w:trPr>
          <w:trHeight w:val="720"/>
        </w:trPr>
        <w:tc>
          <w:tcPr>
            <w:tcW w:w="722" w:type="dxa"/>
            <w:vMerge w:val="restart"/>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毕业要求</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要求内容</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毕业要求应公开、清晰、可衡量。</w:t>
            </w:r>
          </w:p>
        </w:tc>
      </w:tr>
      <w:tr w:rsidR="00552E27" w:rsidRPr="00763A12" w:rsidTr="003B4219">
        <w:trPr>
          <w:trHeight w:val="750"/>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与培养目标相对应</w:t>
            </w:r>
          </w:p>
        </w:tc>
        <w:tc>
          <w:tcPr>
            <w:tcW w:w="6277" w:type="dxa"/>
            <w:tcBorders>
              <w:top w:val="nil"/>
              <w:left w:val="nil"/>
              <w:bottom w:val="single" w:sz="4" w:space="0" w:color="auto"/>
              <w:right w:val="single" w:sz="4" w:space="0" w:color="auto"/>
            </w:tcBorders>
            <w:noWrap/>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围绕专业培养目标制定相应毕业要求。</w:t>
            </w:r>
          </w:p>
        </w:tc>
      </w:tr>
      <w:tr w:rsidR="00552E27" w:rsidRPr="00763A12" w:rsidTr="003B4219">
        <w:trPr>
          <w:trHeight w:val="668"/>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可操作性</w:t>
            </w:r>
          </w:p>
        </w:tc>
        <w:tc>
          <w:tcPr>
            <w:tcW w:w="6277" w:type="dxa"/>
            <w:tcBorders>
              <w:top w:val="nil"/>
              <w:left w:val="nil"/>
              <w:bottom w:val="single" w:sz="4" w:space="0" w:color="auto"/>
              <w:right w:val="single" w:sz="4" w:space="0" w:color="auto"/>
            </w:tcBorders>
            <w:noWrap/>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相关指标和要求易于评价。</w:t>
            </w:r>
          </w:p>
        </w:tc>
      </w:tr>
      <w:tr w:rsidR="00552E27" w:rsidRPr="00763A12" w:rsidTr="003B4219">
        <w:trPr>
          <w:trHeight w:val="796"/>
        </w:trPr>
        <w:tc>
          <w:tcPr>
            <w:tcW w:w="722" w:type="dxa"/>
            <w:vMerge w:val="restart"/>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课程体系</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课程结构</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课程体系设置合理，支持实现培养目标和毕业要求。</w:t>
            </w:r>
          </w:p>
        </w:tc>
      </w:tr>
      <w:tr w:rsidR="00552E27" w:rsidRPr="00763A12" w:rsidTr="003B4219">
        <w:trPr>
          <w:trHeight w:val="822"/>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课堂教学</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课程有明确的教学目标和教学要求；课堂教学体现以学生为中心；按照课程目标和教学要求制定相应课程作业和考核制度。</w:t>
            </w:r>
          </w:p>
        </w:tc>
      </w:tr>
      <w:tr w:rsidR="00552E27" w:rsidRPr="00763A12" w:rsidTr="003B4219">
        <w:trPr>
          <w:trHeight w:val="852"/>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nil"/>
              <w:right w:val="nil"/>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实践教学</w:t>
            </w:r>
          </w:p>
        </w:tc>
        <w:tc>
          <w:tcPr>
            <w:tcW w:w="6277" w:type="dxa"/>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pacing w:val="-6"/>
                <w:szCs w:val="21"/>
              </w:rPr>
            </w:pPr>
            <w:r w:rsidRPr="00321D24">
              <w:rPr>
                <w:rFonts w:ascii="Times New Roman" w:eastAsia="仿宋_GB2312" w:hAnsi="Times New Roman" w:hint="eastAsia"/>
                <w:spacing w:val="-6"/>
                <w:szCs w:val="21"/>
              </w:rPr>
              <w:t>与企业、科研院所、相关行业部门建立协同育人机制，注重培养学生的实践能力、运用所学知识解决实际问题的能力和创新创业能力。</w:t>
            </w:r>
          </w:p>
        </w:tc>
      </w:tr>
      <w:tr w:rsidR="00552E27" w:rsidRPr="00763A12" w:rsidTr="003B4219">
        <w:trPr>
          <w:trHeight w:val="772"/>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single" w:sz="4" w:space="0" w:color="auto"/>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定期评价</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定期评价课程体系的合理性，并根据评价结果进行修订，评价与修订过程能够吸收用人单位与毕业生代表的合理意见。</w:t>
            </w:r>
          </w:p>
        </w:tc>
      </w:tr>
      <w:tr w:rsidR="00552E27" w:rsidRPr="00763A12" w:rsidTr="003B4219">
        <w:trPr>
          <w:trHeight w:val="782"/>
        </w:trPr>
        <w:tc>
          <w:tcPr>
            <w:tcW w:w="722" w:type="dxa"/>
            <w:vMerge w:val="restart"/>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师资队伍</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教师数量和结构</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师资队伍数量充足，结构合理；教师教学能力、学术水平能够满足教学需要；师资队伍建设与发展能够满足学生发展需要。</w:t>
            </w:r>
          </w:p>
        </w:tc>
      </w:tr>
      <w:tr w:rsidR="00552E27" w:rsidRPr="00763A12" w:rsidTr="003B4219">
        <w:trPr>
          <w:trHeight w:val="704"/>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师风师德</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教师能明确知晓自己在人才培养过程中的责任，</w:t>
            </w:r>
            <w:r w:rsidRPr="00321D24">
              <w:rPr>
                <w:rFonts w:ascii="Times New Roman" w:eastAsia="仿宋_GB2312" w:hAnsi="Times New Roman" w:hint="eastAsia"/>
                <w:szCs w:val="21"/>
              </w:rPr>
              <w:t>遵章守纪，按照院系要求完成各项教学任务，</w:t>
            </w:r>
            <w:r w:rsidRPr="00321D24">
              <w:rPr>
                <w:rFonts w:ascii="Times New Roman" w:eastAsia="仿宋_GB2312" w:hAnsi="Times New Roman" w:hint="eastAsia"/>
                <w:color w:val="000000"/>
                <w:szCs w:val="21"/>
              </w:rPr>
              <w:t>并不断改进工作。</w:t>
            </w:r>
          </w:p>
        </w:tc>
      </w:tr>
      <w:tr w:rsidR="00552E27" w:rsidRPr="00763A12" w:rsidTr="003B4219">
        <w:trPr>
          <w:trHeight w:val="766"/>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教师发展</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有促进教师提高教学技能、改进教学方法、提升教学水平的制度和措施，有推动</w:t>
            </w:r>
            <w:r w:rsidRPr="00321D24">
              <w:rPr>
                <w:rFonts w:ascii="Times New Roman" w:eastAsia="仿宋_GB2312" w:hAnsi="Times New Roman" w:hint="eastAsia"/>
                <w:szCs w:val="21"/>
              </w:rPr>
              <w:t>教学团队建</w:t>
            </w:r>
            <w:r w:rsidRPr="00321D24">
              <w:rPr>
                <w:rFonts w:ascii="Times New Roman" w:eastAsia="仿宋_GB2312" w:hAnsi="Times New Roman" w:hint="eastAsia"/>
                <w:color w:val="000000"/>
                <w:szCs w:val="21"/>
              </w:rPr>
              <w:t>设的制度和措施。</w:t>
            </w:r>
          </w:p>
        </w:tc>
      </w:tr>
      <w:tr w:rsidR="00552E27" w:rsidRPr="00763A12" w:rsidTr="003B4219">
        <w:trPr>
          <w:trHeight w:val="1061"/>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激励机制</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有激励教师投入本科教学的制度和措施，在职高级职称教师均为本科生开课。</w:t>
            </w:r>
          </w:p>
        </w:tc>
      </w:tr>
      <w:tr w:rsidR="00552E27" w:rsidRPr="00763A12" w:rsidTr="003B4219">
        <w:trPr>
          <w:cantSplit/>
          <w:trHeight w:hRule="exact" w:val="582"/>
        </w:trPr>
        <w:tc>
          <w:tcPr>
            <w:tcW w:w="722" w:type="dxa"/>
            <w:vMerge w:val="restart"/>
            <w:tcBorders>
              <w:top w:val="single" w:sz="4" w:space="0" w:color="auto"/>
              <w:left w:val="single" w:sz="4" w:space="0" w:color="auto"/>
              <w:bottom w:val="single" w:sz="4" w:space="0" w:color="auto"/>
              <w:right w:val="single" w:sz="4" w:space="0" w:color="auto"/>
            </w:tcBorders>
            <w:vAlign w:val="center"/>
          </w:tcPr>
          <w:p w:rsidR="00552E27" w:rsidRPr="00321D24" w:rsidRDefault="00552E27" w:rsidP="00321D24">
            <w:pPr>
              <w:spacing w:line="36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教学条件</w:t>
            </w:r>
          </w:p>
        </w:tc>
        <w:tc>
          <w:tcPr>
            <w:tcW w:w="1378" w:type="dxa"/>
            <w:tcBorders>
              <w:top w:val="single" w:sz="4" w:space="0" w:color="auto"/>
              <w:left w:val="nil"/>
              <w:bottom w:val="single" w:sz="4" w:space="0" w:color="auto"/>
              <w:right w:val="single" w:sz="4" w:space="0" w:color="auto"/>
            </w:tcBorders>
            <w:vAlign w:val="center"/>
          </w:tcPr>
          <w:p w:rsidR="00552E27" w:rsidRPr="00321D24" w:rsidRDefault="00552E27" w:rsidP="00321D24">
            <w:pPr>
              <w:spacing w:line="36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教学设施</w:t>
            </w:r>
          </w:p>
        </w:tc>
        <w:tc>
          <w:tcPr>
            <w:tcW w:w="6277" w:type="dxa"/>
            <w:tcBorders>
              <w:top w:val="single" w:sz="4" w:space="0" w:color="auto"/>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教学设施在数量和功能上能够满足学生学习及教师日常教学科研需要。</w:t>
            </w:r>
          </w:p>
        </w:tc>
      </w:tr>
      <w:tr w:rsidR="00552E27" w:rsidRPr="00763A12" w:rsidTr="003B4219">
        <w:trPr>
          <w:cantSplit/>
          <w:trHeight w:hRule="exact" w:val="639"/>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spacing w:line="360" w:lineRule="exact"/>
              <w:jc w:val="center"/>
              <w:rPr>
                <w:rFonts w:ascii="Times New Roman" w:eastAsia="仿宋_GB2312" w:hAnsi="Times New Roman"/>
                <w:b/>
                <w:bCs/>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60" w:lineRule="exact"/>
              <w:jc w:val="center"/>
              <w:rPr>
                <w:rFonts w:ascii="Times New Roman" w:eastAsia="仿宋_GB2312" w:hAnsi="Times New Roman"/>
                <w:color w:val="000000"/>
                <w:spacing w:val="-20"/>
                <w:szCs w:val="21"/>
              </w:rPr>
            </w:pPr>
            <w:r w:rsidRPr="00321D24">
              <w:rPr>
                <w:rFonts w:ascii="Times New Roman" w:eastAsia="仿宋_GB2312" w:hAnsi="Times New Roman" w:hint="eastAsia"/>
                <w:color w:val="000000"/>
                <w:spacing w:val="-20"/>
                <w:szCs w:val="21"/>
              </w:rPr>
              <w:t>实习实训基地</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有满足教学需要的实习实训基地，为学生的实践活动和创新活动提供有效支持。</w:t>
            </w:r>
          </w:p>
        </w:tc>
      </w:tr>
      <w:tr w:rsidR="00552E27" w:rsidRPr="00763A12" w:rsidTr="003B4219">
        <w:trPr>
          <w:cantSplit/>
          <w:trHeight w:hRule="exact" w:val="567"/>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keepNext/>
              <w:keepLines/>
              <w:adjustRightInd w:val="0"/>
              <w:snapToGrid w:val="0"/>
              <w:spacing w:before="260" w:after="260" w:line="360" w:lineRule="exact"/>
              <w:outlineLvl w:val="2"/>
              <w:rPr>
                <w:rFonts w:ascii="Times New Roman" w:eastAsia="仿宋_GB2312" w:hAnsi="Times New Roman"/>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6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教学经费</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28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教学经费足额投入并逐年增长，学生实验经费、实习经费充足，满足人才培养需求。</w:t>
            </w:r>
          </w:p>
          <w:p w:rsidR="00552E27" w:rsidRPr="00321D24" w:rsidRDefault="00552E27" w:rsidP="00321D24">
            <w:pPr>
              <w:spacing w:line="280" w:lineRule="exact"/>
              <w:rPr>
                <w:rFonts w:ascii="Times New Roman" w:eastAsia="仿宋_GB2312" w:hAnsi="Times New Roman"/>
                <w:color w:val="000000"/>
                <w:szCs w:val="21"/>
              </w:rPr>
            </w:pPr>
          </w:p>
          <w:p w:rsidR="00552E27" w:rsidRPr="00321D24" w:rsidRDefault="00552E27" w:rsidP="00321D24">
            <w:pPr>
              <w:spacing w:line="280" w:lineRule="exact"/>
              <w:rPr>
                <w:rFonts w:ascii="Times New Roman" w:eastAsia="仿宋_GB2312" w:hAnsi="Times New Roman"/>
                <w:color w:val="000000"/>
                <w:szCs w:val="21"/>
              </w:rPr>
            </w:pPr>
          </w:p>
          <w:p w:rsidR="00552E27" w:rsidRPr="00321D24" w:rsidRDefault="00552E27" w:rsidP="00321D24">
            <w:pPr>
              <w:spacing w:line="280" w:lineRule="exact"/>
              <w:rPr>
                <w:rFonts w:ascii="Times New Roman" w:eastAsia="仿宋_GB2312" w:hAnsi="Times New Roman"/>
                <w:color w:val="000000"/>
                <w:szCs w:val="21"/>
              </w:rPr>
            </w:pPr>
          </w:p>
          <w:p w:rsidR="00552E27" w:rsidRPr="00321D24" w:rsidRDefault="00552E27" w:rsidP="00321D24">
            <w:pPr>
              <w:spacing w:line="280" w:lineRule="exact"/>
              <w:rPr>
                <w:rFonts w:ascii="Times New Roman" w:eastAsia="仿宋_GB2312" w:hAnsi="Times New Roman"/>
                <w:color w:val="000000"/>
                <w:szCs w:val="21"/>
              </w:rPr>
            </w:pPr>
          </w:p>
        </w:tc>
      </w:tr>
      <w:tr w:rsidR="00552E27" w:rsidRPr="00763A12" w:rsidTr="003B4219">
        <w:trPr>
          <w:trHeight w:val="780"/>
        </w:trPr>
        <w:tc>
          <w:tcPr>
            <w:tcW w:w="722" w:type="dxa"/>
            <w:vMerge w:val="restart"/>
            <w:tcBorders>
              <w:top w:val="nil"/>
              <w:left w:val="single" w:sz="4" w:space="0" w:color="auto"/>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质量保障</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过程监控</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各主要教学环节有明确的、符合毕业要求的质量标准，对各教学环节实施过程进行</w:t>
            </w:r>
            <w:r w:rsidRPr="00321D24">
              <w:rPr>
                <w:rFonts w:ascii="Times New Roman" w:eastAsia="仿宋_GB2312" w:hAnsi="Times New Roman" w:hint="eastAsia"/>
                <w:szCs w:val="21"/>
              </w:rPr>
              <w:t>常态监控</w:t>
            </w:r>
            <w:r w:rsidRPr="00321D24">
              <w:rPr>
                <w:rFonts w:ascii="Times New Roman" w:eastAsia="仿宋_GB2312" w:hAnsi="Times New Roman" w:hint="eastAsia"/>
                <w:color w:val="000000"/>
                <w:szCs w:val="21"/>
              </w:rPr>
              <w:t>。</w:t>
            </w:r>
          </w:p>
        </w:tc>
      </w:tr>
      <w:tr w:rsidR="00552E27" w:rsidRPr="00763A12" w:rsidTr="003B4219">
        <w:trPr>
          <w:trHeight w:val="780"/>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keepNext/>
              <w:keepLines/>
              <w:adjustRightInd w:val="0"/>
              <w:snapToGrid w:val="0"/>
              <w:spacing w:before="260" w:after="260" w:line="300" w:lineRule="exact"/>
              <w:outlineLvl w:val="2"/>
              <w:rPr>
                <w:rFonts w:ascii="Times New Roman" w:eastAsia="仿宋_GB2312" w:hAnsi="Times New Roman"/>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定期评估</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定期开展教学检查和专业评估（认证）。</w:t>
            </w:r>
          </w:p>
        </w:tc>
      </w:tr>
      <w:tr w:rsidR="00552E27" w:rsidRPr="00763A12" w:rsidTr="003B4219">
        <w:trPr>
          <w:trHeight w:val="720"/>
        </w:trPr>
        <w:tc>
          <w:tcPr>
            <w:tcW w:w="722" w:type="dxa"/>
            <w:vMerge/>
            <w:tcBorders>
              <w:top w:val="nil"/>
              <w:left w:val="single" w:sz="4" w:space="0" w:color="auto"/>
              <w:bottom w:val="single" w:sz="4" w:space="0" w:color="auto"/>
              <w:right w:val="single" w:sz="4" w:space="0" w:color="auto"/>
            </w:tcBorders>
            <w:vAlign w:val="center"/>
          </w:tcPr>
          <w:p w:rsidR="00552E27" w:rsidRPr="00321D24" w:rsidRDefault="00552E27" w:rsidP="00321D24">
            <w:pPr>
              <w:keepNext/>
              <w:keepLines/>
              <w:adjustRightInd w:val="0"/>
              <w:snapToGrid w:val="0"/>
              <w:spacing w:before="260" w:after="260" w:line="300" w:lineRule="exact"/>
              <w:outlineLvl w:val="2"/>
              <w:rPr>
                <w:rFonts w:ascii="Times New Roman" w:eastAsia="仿宋_GB2312" w:hAnsi="Times New Roman"/>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持续改进</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有专门从事质量监控的组织和人员，对发现的问题或存在的不足及时研究、改进。</w:t>
            </w:r>
          </w:p>
        </w:tc>
      </w:tr>
      <w:tr w:rsidR="00552E27" w:rsidRPr="00763A12" w:rsidTr="003B4219">
        <w:trPr>
          <w:trHeight w:val="720"/>
        </w:trPr>
        <w:tc>
          <w:tcPr>
            <w:tcW w:w="722" w:type="dxa"/>
            <w:vMerge w:val="restart"/>
            <w:tcBorders>
              <w:top w:val="nil"/>
              <w:left w:val="single" w:sz="4" w:space="0" w:color="auto"/>
              <w:bottom w:val="single" w:sz="4" w:space="0" w:color="000000"/>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学生发展</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发展平台</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有支持和鼓励学生全面发展与个性发展的平台和环境，助力学生成长。</w:t>
            </w:r>
          </w:p>
        </w:tc>
      </w:tr>
      <w:tr w:rsidR="00552E27" w:rsidRPr="00763A12" w:rsidTr="003B4219">
        <w:trPr>
          <w:trHeight w:val="645"/>
        </w:trPr>
        <w:tc>
          <w:tcPr>
            <w:tcW w:w="722" w:type="dxa"/>
            <w:vMerge/>
            <w:tcBorders>
              <w:top w:val="nil"/>
              <w:left w:val="single" w:sz="4" w:space="0" w:color="auto"/>
              <w:bottom w:val="single" w:sz="4" w:space="0" w:color="000000"/>
              <w:right w:val="single" w:sz="4" w:space="0" w:color="auto"/>
            </w:tcBorders>
            <w:vAlign w:val="center"/>
          </w:tcPr>
          <w:p w:rsidR="00552E27" w:rsidRPr="00321D24" w:rsidRDefault="00552E27" w:rsidP="00321D24">
            <w:pPr>
              <w:keepNext/>
              <w:keepLines/>
              <w:adjustRightInd w:val="0"/>
              <w:snapToGrid w:val="0"/>
              <w:spacing w:before="260" w:after="260" w:line="300" w:lineRule="exact"/>
              <w:outlineLvl w:val="2"/>
              <w:rPr>
                <w:rFonts w:ascii="Times New Roman" w:eastAsia="仿宋_GB2312" w:hAnsi="Times New Roman"/>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学业指导</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有完善的学生学习指导和服务的制度和措施，促进学生完成毕业各项要求。</w:t>
            </w:r>
          </w:p>
        </w:tc>
      </w:tr>
      <w:tr w:rsidR="00552E27" w:rsidRPr="00763A12" w:rsidTr="003B4219">
        <w:trPr>
          <w:trHeight w:val="735"/>
        </w:trPr>
        <w:tc>
          <w:tcPr>
            <w:tcW w:w="722" w:type="dxa"/>
            <w:vMerge/>
            <w:tcBorders>
              <w:top w:val="nil"/>
              <w:left w:val="single" w:sz="4" w:space="0" w:color="auto"/>
              <w:bottom w:val="single" w:sz="4" w:space="0" w:color="000000"/>
              <w:right w:val="single" w:sz="4" w:space="0" w:color="auto"/>
            </w:tcBorders>
            <w:vAlign w:val="center"/>
          </w:tcPr>
          <w:p w:rsidR="00552E27" w:rsidRPr="00321D24" w:rsidRDefault="00552E27" w:rsidP="00321D24">
            <w:pPr>
              <w:keepNext/>
              <w:keepLines/>
              <w:adjustRightInd w:val="0"/>
              <w:snapToGrid w:val="0"/>
              <w:spacing w:before="260" w:after="260" w:line="300" w:lineRule="exact"/>
              <w:outlineLvl w:val="2"/>
              <w:rPr>
                <w:rFonts w:ascii="Times New Roman" w:eastAsia="仿宋_GB2312" w:hAnsi="Times New Roman"/>
                <w:color w:val="000000"/>
                <w:szCs w:val="21"/>
              </w:rPr>
            </w:pP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发展跟踪</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对在校生学习情况和毕业生就业情况进行跟踪与评估，促进学生学业水平与综合素质的不断提升，毕业生发展情况好，用人单位满意度高。</w:t>
            </w:r>
          </w:p>
        </w:tc>
      </w:tr>
      <w:tr w:rsidR="00552E27" w:rsidRPr="00763A12" w:rsidTr="003B4219">
        <w:trPr>
          <w:trHeight w:val="990"/>
        </w:trPr>
        <w:tc>
          <w:tcPr>
            <w:tcW w:w="722" w:type="dxa"/>
            <w:tcBorders>
              <w:top w:val="nil"/>
              <w:left w:val="single" w:sz="4" w:space="0" w:color="auto"/>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专业特色</w:t>
            </w:r>
          </w:p>
        </w:tc>
        <w:tc>
          <w:tcPr>
            <w:tcW w:w="1378"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jc w:val="center"/>
              <w:rPr>
                <w:rFonts w:ascii="Times New Roman" w:eastAsia="仿宋_GB2312" w:hAnsi="Times New Roman"/>
                <w:color w:val="000000"/>
                <w:szCs w:val="21"/>
              </w:rPr>
            </w:pPr>
            <w:r w:rsidRPr="00321D24">
              <w:rPr>
                <w:rFonts w:ascii="Times New Roman" w:eastAsia="仿宋_GB2312" w:hAnsi="Times New Roman" w:hint="eastAsia"/>
                <w:color w:val="000000"/>
                <w:szCs w:val="21"/>
              </w:rPr>
              <w:t>专业教学与</w:t>
            </w:r>
            <w:r w:rsidRPr="00321D24">
              <w:rPr>
                <w:rFonts w:ascii="Times New Roman" w:eastAsia="仿宋_GB2312" w:hAnsi="Times New Roman" w:hint="eastAsia"/>
                <w:color w:val="000000"/>
                <w:spacing w:val="-20"/>
                <w:szCs w:val="21"/>
              </w:rPr>
              <w:t>人才培养特色</w:t>
            </w:r>
          </w:p>
        </w:tc>
        <w:tc>
          <w:tcPr>
            <w:tcW w:w="6277" w:type="dxa"/>
            <w:tcBorders>
              <w:top w:val="nil"/>
              <w:left w:val="nil"/>
              <w:bottom w:val="single" w:sz="4" w:space="0" w:color="auto"/>
              <w:right w:val="single" w:sz="4" w:space="0" w:color="auto"/>
            </w:tcBorders>
            <w:vAlign w:val="center"/>
          </w:tcPr>
          <w:p w:rsidR="00552E27" w:rsidRPr="00321D24" w:rsidRDefault="00552E27" w:rsidP="00321D24">
            <w:pPr>
              <w:spacing w:line="300" w:lineRule="exact"/>
              <w:rPr>
                <w:rFonts w:ascii="Times New Roman" w:eastAsia="仿宋_GB2312" w:hAnsi="Times New Roman"/>
                <w:color w:val="000000"/>
                <w:szCs w:val="21"/>
              </w:rPr>
            </w:pPr>
            <w:r w:rsidRPr="00321D24">
              <w:rPr>
                <w:rFonts w:ascii="Times New Roman" w:eastAsia="仿宋_GB2312" w:hAnsi="Times New Roman" w:hint="eastAsia"/>
                <w:color w:val="000000"/>
                <w:szCs w:val="21"/>
              </w:rPr>
              <w:t>在教育教学实践过程中形成了专业教学与人才培养工作方面的特色和亮点。</w:t>
            </w:r>
          </w:p>
        </w:tc>
      </w:tr>
    </w:tbl>
    <w:p w:rsidR="00552E27" w:rsidRPr="00321D24" w:rsidRDefault="00552E27" w:rsidP="00321D24">
      <w:pPr>
        <w:spacing w:line="360" w:lineRule="auto"/>
        <w:rPr>
          <w:rFonts w:ascii="Times New Roman" w:eastAsia="仿宋_GB2312" w:hAnsi="Times New Roman"/>
          <w:szCs w:val="21"/>
        </w:rPr>
      </w:pPr>
    </w:p>
    <w:p w:rsidR="00552E27" w:rsidRPr="00321D24" w:rsidRDefault="00552E27" w:rsidP="00321D24">
      <w:pPr>
        <w:rPr>
          <w:rFonts w:ascii="Times New Roman" w:eastAsia="仿宋_GB2312" w:hAnsi="Times New Roman"/>
          <w:szCs w:val="21"/>
        </w:rPr>
      </w:pPr>
    </w:p>
    <w:p w:rsidR="00552E27" w:rsidRPr="00321D24" w:rsidRDefault="00552E27"/>
    <w:sectPr w:rsidR="00552E27" w:rsidRPr="00321D24" w:rsidSect="009C5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27" w:rsidRDefault="00552E27" w:rsidP="00B67F47">
      <w:r>
        <w:separator/>
      </w:r>
    </w:p>
  </w:endnote>
  <w:endnote w:type="continuationSeparator" w:id="1">
    <w:p w:rsidR="00552E27" w:rsidRDefault="00552E27" w:rsidP="00B67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Unicode MS"/>
    <w:panose1 w:val="00000000000000000000"/>
    <w:charset w:val="86"/>
    <w:family w:val="swiss"/>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27" w:rsidRDefault="00552E27" w:rsidP="00B67F47">
      <w:r>
        <w:separator/>
      </w:r>
    </w:p>
  </w:footnote>
  <w:footnote w:type="continuationSeparator" w:id="1">
    <w:p w:rsidR="00552E27" w:rsidRDefault="00552E27" w:rsidP="00B67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D24"/>
    <w:rsid w:val="00001AA1"/>
    <w:rsid w:val="00032770"/>
    <w:rsid w:val="000C2380"/>
    <w:rsid w:val="000E3F9F"/>
    <w:rsid w:val="00153F18"/>
    <w:rsid w:val="00167E21"/>
    <w:rsid w:val="001E3B14"/>
    <w:rsid w:val="00203371"/>
    <w:rsid w:val="002041AB"/>
    <w:rsid w:val="00223137"/>
    <w:rsid w:val="00224DA0"/>
    <w:rsid w:val="0023746C"/>
    <w:rsid w:val="002655AB"/>
    <w:rsid w:val="002A5F14"/>
    <w:rsid w:val="002C0536"/>
    <w:rsid w:val="002C2675"/>
    <w:rsid w:val="00305199"/>
    <w:rsid w:val="00321D24"/>
    <w:rsid w:val="00357300"/>
    <w:rsid w:val="0037597B"/>
    <w:rsid w:val="00380B25"/>
    <w:rsid w:val="003815CC"/>
    <w:rsid w:val="003A7089"/>
    <w:rsid w:val="003B4219"/>
    <w:rsid w:val="003B61D5"/>
    <w:rsid w:val="003F6F9D"/>
    <w:rsid w:val="00405F8F"/>
    <w:rsid w:val="00411FAB"/>
    <w:rsid w:val="00477FED"/>
    <w:rsid w:val="004A12DA"/>
    <w:rsid w:val="004C03A4"/>
    <w:rsid w:val="004C2268"/>
    <w:rsid w:val="004D60AA"/>
    <w:rsid w:val="004F5121"/>
    <w:rsid w:val="004F6311"/>
    <w:rsid w:val="00552E27"/>
    <w:rsid w:val="0056530F"/>
    <w:rsid w:val="00577834"/>
    <w:rsid w:val="005818AE"/>
    <w:rsid w:val="005E41E5"/>
    <w:rsid w:val="00677E10"/>
    <w:rsid w:val="00713269"/>
    <w:rsid w:val="00732911"/>
    <w:rsid w:val="007408BE"/>
    <w:rsid w:val="0076279C"/>
    <w:rsid w:val="00763A12"/>
    <w:rsid w:val="007828A2"/>
    <w:rsid w:val="00796FD3"/>
    <w:rsid w:val="007B56B9"/>
    <w:rsid w:val="007D5B14"/>
    <w:rsid w:val="007E7918"/>
    <w:rsid w:val="007E7D1E"/>
    <w:rsid w:val="007F7152"/>
    <w:rsid w:val="008166B5"/>
    <w:rsid w:val="00822C20"/>
    <w:rsid w:val="00822D03"/>
    <w:rsid w:val="00832263"/>
    <w:rsid w:val="00841ADC"/>
    <w:rsid w:val="008534C7"/>
    <w:rsid w:val="00862C9C"/>
    <w:rsid w:val="00873E82"/>
    <w:rsid w:val="00877CB4"/>
    <w:rsid w:val="008A2E0C"/>
    <w:rsid w:val="008A5ADA"/>
    <w:rsid w:val="008E7A67"/>
    <w:rsid w:val="008F2E99"/>
    <w:rsid w:val="0093439A"/>
    <w:rsid w:val="00965784"/>
    <w:rsid w:val="00982025"/>
    <w:rsid w:val="0099662B"/>
    <w:rsid w:val="009C41A1"/>
    <w:rsid w:val="009C5EA3"/>
    <w:rsid w:val="009D681C"/>
    <w:rsid w:val="009E4336"/>
    <w:rsid w:val="00A231F3"/>
    <w:rsid w:val="00A27ED6"/>
    <w:rsid w:val="00A4444D"/>
    <w:rsid w:val="00A6221E"/>
    <w:rsid w:val="00AA1C9F"/>
    <w:rsid w:val="00AC35BE"/>
    <w:rsid w:val="00B423DB"/>
    <w:rsid w:val="00B67F47"/>
    <w:rsid w:val="00B9082F"/>
    <w:rsid w:val="00BC14D6"/>
    <w:rsid w:val="00BC2CCA"/>
    <w:rsid w:val="00BC3B5A"/>
    <w:rsid w:val="00BE6548"/>
    <w:rsid w:val="00C12CCF"/>
    <w:rsid w:val="00C26B70"/>
    <w:rsid w:val="00C3497F"/>
    <w:rsid w:val="00CA20E5"/>
    <w:rsid w:val="00CE17B3"/>
    <w:rsid w:val="00D4137B"/>
    <w:rsid w:val="00D9239B"/>
    <w:rsid w:val="00DA17B9"/>
    <w:rsid w:val="00DA7075"/>
    <w:rsid w:val="00DC593E"/>
    <w:rsid w:val="00DD0BC3"/>
    <w:rsid w:val="00DF1187"/>
    <w:rsid w:val="00E108F9"/>
    <w:rsid w:val="00E3117F"/>
    <w:rsid w:val="00EB376C"/>
    <w:rsid w:val="00EF4C62"/>
    <w:rsid w:val="00F46652"/>
    <w:rsid w:val="00F66338"/>
    <w:rsid w:val="00FC7B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7F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67F47"/>
    <w:rPr>
      <w:rFonts w:cs="Times New Roman"/>
      <w:sz w:val="18"/>
      <w:szCs w:val="18"/>
    </w:rPr>
  </w:style>
  <w:style w:type="paragraph" w:styleId="Footer">
    <w:name w:val="footer"/>
    <w:basedOn w:val="Normal"/>
    <w:link w:val="FooterChar"/>
    <w:uiPriority w:val="99"/>
    <w:semiHidden/>
    <w:rsid w:val="00B67F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67F4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2407890">
      <w:marLeft w:val="0"/>
      <w:marRight w:val="0"/>
      <w:marTop w:val="0"/>
      <w:marBottom w:val="0"/>
      <w:divBdr>
        <w:top w:val="none" w:sz="0" w:space="0" w:color="auto"/>
        <w:left w:val="none" w:sz="0" w:space="0" w:color="auto"/>
        <w:bottom w:val="none" w:sz="0" w:space="0" w:color="auto"/>
        <w:right w:val="none" w:sz="0" w:space="0" w:color="auto"/>
      </w:divBdr>
    </w:div>
    <w:div w:id="92407891">
      <w:marLeft w:val="0"/>
      <w:marRight w:val="0"/>
      <w:marTop w:val="0"/>
      <w:marBottom w:val="0"/>
      <w:divBdr>
        <w:top w:val="none" w:sz="0" w:space="0" w:color="auto"/>
        <w:left w:val="none" w:sz="0" w:space="0" w:color="auto"/>
        <w:bottom w:val="none" w:sz="0" w:space="0" w:color="auto"/>
        <w:right w:val="none" w:sz="0" w:space="0" w:color="auto"/>
      </w:divBdr>
    </w:div>
    <w:div w:id="92407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381</Words>
  <Characters>2176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浙江大学印发《浙江大学本科专业定期自查自评实施办法》的通知</dc:title>
  <dc:subject/>
  <dc:creator>本科生院</dc:creator>
  <cp:keywords/>
  <dc:description/>
  <cp:lastModifiedBy>Dell-zju</cp:lastModifiedBy>
  <cp:revision>2</cp:revision>
  <dcterms:created xsi:type="dcterms:W3CDTF">2018-01-22T01:27:00Z</dcterms:created>
  <dcterms:modified xsi:type="dcterms:W3CDTF">2018-01-22T01:27:00Z</dcterms:modified>
</cp:coreProperties>
</file>